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weight.  </w:t>
      </w:r>
      <w:r>
        <w:rPr>
          <w:rFonts w:ascii="" w:hAnsi="" w:cs="" w:eastAsia=""/>
          <w:b w:val="false"/>
          <w:i w:val="false"/>
          <w:strike w:val="false"/>
          <w:color w:val=""/>
        </w:rPr>
        <w:t>Blondin Carolina owns the copyright to the Code o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if Laws of South Carolina, 1976, as contains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Ted herein.  Any use of the text, section hhe Hague Convention</w:t>
      </w:r>
    </w:p>
    <w:p>
      <w:pPr>
        <w:pStyle w:val=""/>
        <w:jc w:val="left"/>
      </w:pPr>
      <w:r>
        <w:rPr>
          <w:rFonts w:ascii="" w:hAnsi="" w:cs="" w:eastAsia=""/>
          <w:b w:val="false"/>
          <w:i w:val="false"/>
          <w:strike w:val="false"/>
          <w:color w:val=""/>
        </w:rPr>
        <w:t>The Hague Convention was adopted to deter parents from abducting ceadings, or catchlines of the 1976 Code ishi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subject to the terms of federal copyright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 and other applicable laws and such text, 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U.S.C.section headings, or catchlines may not be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 reproduced in whole or in part in any forptions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retum or for inclusion in any material which irn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Fas offered for sale or lease without the excts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Conpress written permission of the Chairman ovention's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reaf the South Carolina Legislative Council osonable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rightr the Code Commissioner of South Carolina.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IdThis statutory database is current through.</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 the 2001 Regular Session and the 2001 Extench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psychologicara Session of the South Carolina General 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ossembly.  Changes to the statutes enacted 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addby the 2002 General Assembly, which will citional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chionvene in January 2002, will be incorporatld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ordeed as soon as possible.  Some changes enacrs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addted by the 2002 General Assembly may take 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returimmediate effect.  The State of South Caron,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oflina and the South Carolina Legislative Co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distruncil make no warranty as to the accuracy 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“objection”of the data, and users rely on the data en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tirely at their own risk.The Legislative Cto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testifyinouncil by law is charged with compiling ang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tesd publishing the 1976 Code and it is mainttified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N.Y.S.2ained in a database which may be accessed 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psychiatrifor commercial purposes by contacting the st readily admitted that some of Marie-Eline’s “spontaneous” expressions of abuse, such as a fear of her father stran</w:t>
      </w:r>
      <w:r>
        <w:rPr>
          <w:rFonts w:ascii="" w:hAnsi="" w:cs="" w:eastAsia=""/>
          <w:b w:val="false"/>
          <w:i w:val="false"/>
          <w:strike w:val="false"/>
          <w:color w:val=""/>
        </w:rPr>
        <w:t xml:space="preserve">glinLegislative Council or the office of Legislative Pring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