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adings, or catchlines of the 1976 Code is subject to the terms of federal copyright and other applicable laws and such text, section headings, or catchlines may not be rif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Educeproduced in whole or in part in any form or for inclusion in any material which is offered for sale or lease without the express written permission of the Chairman of t.</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detehe South Carolina Legislative Council or the Code Commissioner of South Carolina.This statutory database is current through the 2001 Regular Session and the 2001 Extra Srminations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F.ession of the South Carolina General Assembly.  Changes to the statutes enacted by the 2002 General Assembly, which will convene in January 2002, will be incorporated as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 soon as possible.  Some changes enacted by the 2002 General Assembly may take immediate effect.  The State of South Carolina and the South Carolina Legislative Council 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degree,”make no warranty as to the accuracy of the data, and users rely on the data entirely at their own risk.The Legislative Council by law is charged with compiling and publi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assshing the 1976 Code and it is maintained in a database which may be accessed for commercial purposes by contacting the Legislative Council or the office of Legislative Prinessment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