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eqTIuivalent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knowledNGge, skill, and abilities to perform successfully the duties of the position, and that is typically in or related  Tto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multi-disO 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muPUltiple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BLbe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yourIC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 P.usajobs.opm.gov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ARwill not be accepted.</w:t>
      </w:r>
    </w:p>
    <w:p>
      <w:pPr>
        <w:pStyle w:val=""/>
        <w:jc w:val="left"/>
      </w:pPr>
      <w:r>
        <w:rPr>
          <w:rFonts w:ascii="Arial" w:hAnsi="Arial" w:cs="Arial" w:eastAsia="Arial"/>
          <w:b w:val="true"/>
          <w:i w:val="false"/>
          <w:strike w:val="false"/>
          <w:color w:val=""/>
          <w:sz w:val="22"/>
        </w:rPr>
        <w:t>NOTEKS:</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.Blower than the position to be filled.  </w:t>
      </w:r>
      <w:r>
        <w:rPr>
          <w:rFonts w:ascii="Arial" w:hAnsi="Arial" w:cs="Arial" w:eastAsia="Arial"/>
          <w:b w:val="true"/>
          <w:i w:val="false"/>
          <w:strike w:val="false"/>
          <w:color w:val=""/>
          <w:sz w:val="22"/>
        </w:rPr>
        <w:t xml:space="preserve">Candidates for advancement toE  positions at GS-7, -9, -11, which is in a line of work properly classified at 2-grade intervals </w:t>
      </w:r>
      <w:r>
        <w:rPr>
          <w:rFonts w:ascii="Arial" w:hAnsi="Arial" w:cs="Arial" w:eastAsia="Arial"/>
          <w:b w:val="false"/>
          <w:i w:val="false"/>
          <w:strike w:val="false"/>
          <w:color w:val=""/>
          <w:sz w:val="22"/>
        </w:rPr>
        <w:t>must have completed at least one year of ITservice in positions no more than two grades lower than the positions to be filled OR.</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