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 TO 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-------------------------------------------------------------------------------------------------------PUBL------------------------</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specializIC Ped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oARKSf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two.BE  grades lower than the positions to be filled.</w:t>
      </w:r>
    </w:p>
    <w:p>
      <w:pPr>
        <w:pStyle w:val=""/>
        <w:jc w:val="left"/>
      </w:pPr>
      <w:r>
        <w:rPr>
          <w:rFonts w:ascii="Arial" w:hAnsi="Arial" w:cs="Arial" w:eastAsia="Arial"/>
          <w:b w:val="false"/>
          <w:i w:val="false"/>
          <w:strike w:val="false"/>
          <w:color w:val=""/>
          <w:sz w:val="22"/>
        </w:rPr>
        <w:t>Applicant’s materials should be mailed IT ORto: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