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knowledRELATING TO PUBLIC PARKS.BE IT ORDAINED by the People of the City and County of Honolulge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typicau:SECTION 1.  Purpose. The purpose of this ordinance is to define camping.SECTION 2.  Slly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eqection 10-1.1, Revised Ordinances of Honolulu 1990, as amended, is further amended to ruivalent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knowledead as follows:“Sec. 10-1.1Definitions.“Camp” or “camping” means the use and occupationge, skill, and abilities to perform successfully the duties of the position, and that is typically in or related  of a public park as a temporary or permanent dwelling place or sleeping place between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multi-disthe hours of 10:00 p.m. and 5:00 a.m.“Dwelling place” means a place used for human habiciplinary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mutation as an overnight accommodation, lodging, or shelter on either a temporary or permltiple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anent basis.“Human habitation” means the act of utilizing, occupying, or inhabiting a pbe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yourlace of lodging or shelter on a permanent or temporary basis as a place of residence or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 sojourn.“Off-leash park” means a public park designated by the director of parks and r.usajobs.opm.gov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ecreation where dogs, and no other animal, shall be allowed to be off-leash.“Public parwill not be accepted.</w:t>
      </w:r>
    </w:p>
    <w:p>
      <w:pPr>
        <w:pStyle w:val=""/>
        <w:jc w:val="left"/>
      </w:pPr>
      <w:r>
        <w:rPr>
          <w:rFonts w:ascii="Arial" w:hAnsi="Arial" w:cs="Arial" w:eastAsia="Arial"/>
          <w:b w:val="true"/>
          <w:i w:val="false"/>
          <w:strike w:val="false"/>
          <w:color w:val=""/>
          <w:sz w:val="22"/>
        </w:rPr>
        <w:t>NOTEk” means any park, park roadway, playground, athletic field, beach, beach right-of-way,:</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tennis court, golf course, swimming pool, or other recreation area or facility under tlower than the position to be filled.  </w:t>
      </w:r>
      <w:r>
        <w:rPr>
          <w:rFonts w:ascii="Arial" w:hAnsi="Arial" w:cs="Arial" w:eastAsia="Arial"/>
          <w:b w:val="true"/>
          <w:i w:val="false"/>
          <w:strike w:val="false"/>
          <w:color w:val=""/>
          <w:sz w:val="22"/>
        </w:rPr>
        <w:t xml:space="preserve">Candidates for advancement tohe control, maintenance and management of the department of parks and recreation.  “Pub positions at GS-7, -9, -11, which is in a line of work properly classified at 2-grade intervals </w:t>
      </w:r>
      <w:r>
        <w:rPr>
          <w:rFonts w:ascii="Arial" w:hAnsi="Arial" w:cs="Arial" w:eastAsia="Arial"/>
          <w:b w:val="false"/>
          <w:i w:val="false"/>
          <w:strike w:val="false"/>
          <w:color w:val=""/>
          <w:sz w:val="22"/>
        </w:rPr>
        <w:t>must have completed at least one year of lic park” does not include a public thoroughfare defined as a “mall” under Section 29-1service in positions no more than two grades lower than the positions to be filled.1 unless the public thoroughfare has been (1) accepted, dedicated, or named by the council exp.</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2021-03-12T17:39:28Z</dcterms:created>
  <dc:creator>Apache POI</dc:creator>
</cp:coreProperties>
</file>