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ManageRDAINED by the Pment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-------------------------------------------------------------------------------------------------------eople of the Cit------------------------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specializy and County of 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oHonolulu:SECTIONf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1.  Purpose. Th grades lower than the positions to be filled.</w:t>
      </w:r>
    </w:p>
    <w:p>
      <w:pPr>
        <w:pStyle w:val=""/>
        <w:jc w:val="left"/>
      </w:pPr>
      <w:r>
        <w:rPr>
          <w:rFonts w:ascii="Arial" w:hAnsi="Arial" w:cs="Arial" w:eastAsia="Arial"/>
          <w:b w:val="false"/>
          <w:i w:val="false"/>
          <w:strike w:val="false"/>
          <w:color w:val=""/>
          <w:sz w:val="22"/>
        </w:rPr>
        <w:t>Applicant’s materials should be mailed e purpose of this ordinto: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