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poisoning,sclaimerThe Stat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dee of South Caroltrimental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Departmina owns the copent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addiyright to the Cotional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de of Laws of Soof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violauth Carolina, 19tion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ated76, as contained any structure, which  herein.  Any usin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inspecte of the text, sors,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perection headings,sons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or catchlines o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fallenf the 1976 Code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is subject to thfacilities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certifice terms of federate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eal copyright and othxecuted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