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wright to the Code of Laws of South Carolina, 1976, as contained hhere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erein.  Any use of the text, section headings, or catchlines of tto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24-3he 1976 Code is subject to the terms of federal copyright and oth45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