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e of South Carolina owns the copconsecutive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ofyright to the Code of Laws of Sofer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purputh Carolina, 1976, as containedose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 herein.  Any use of the text, st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11-ection headings, or catchlines o12-92)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f the 1976 Code is subject to thbe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“fe terms of federal copyright and othorty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