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herein.  Any use of the text, section headings, or catchlines of the 1976 Code is subject to the terms of federal copyright and othert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 applicable laws and such text, section headings, or catchlines may not be reproduced in whole or in part in any form or for inclusion in any material which is offered for sale or lease without the express written permission of the Chairman of the South Carolina 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