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poisoning,na owns the copyright to the Code of Laws of Sout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deh Carolina, 1976, as contained herein.  Any use otrimental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Departmf the text, section headings, or catchlines of thent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addie 1976 Code is subject to the terms of federal cotional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pyright and other applicable laws and such text,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violasection headings, or catchlines may not be reprodtion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ateduced in whole or in part in any form or for inclu any structure, which sion in any material which is offered for sale orin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 lease without the express written permission of 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perthe Chairman of the South Carolina Legislative Cosons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anduncil or the Code Commissioner of South Carolina.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fallenThis statutory database is current through the 20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01 Regular Session and the 2001 Extra Session of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certificthe South Carolina General Assembly.  Changes to 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ethe statutes enacted by the 2002 General Assembly, which willxecuted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