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copyright to the Code of Laws of South Carolina, 1976, as contained herein.  Any use of the text, section headings, or catchlines of the 1Code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w976 Code is subject to the terms of federal copyright and other applicable laws and such text, section headings, or catchlines may not be reproduced in whole or in part in any form or for inclusion ihere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n any material which is offered for sale or lease without the express written permission of the Chairman of the South Carolina Legislative Council or the Code Commissioner of South Carolina.This statto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24-3utory database is current through the 2001 Regular Session and the 2001 Extra Session of the South Carolina General Assembly.  Changes to the statutes enacted by the 2002 General Assembly, which will45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