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Carolina, 1976, as contained herein.  Any use of the text, section headings, or catchlines of the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of1976 Code is subject to the terms of federal copyright and other applicable laws and such text, secfer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purption headings, or catchlines may not be reproduced in whole or in part in any form or for inclusionose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 in any material which is offered for sale or lease without the express written permission of the Ct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11-hairman of the South Carolina Legislative Council or the Code Commissioner of South Carolina.This s12-92)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tatutory database is current through the 2001 Regular Session and the 2001 Extra Session of the Soube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“fth Carolina General Assembly.  Changes to the statutes enacted by the 2002 General Assembly, which willorty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