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Copyright and DisclaimerThe State of South Carolina owns the copyriexercise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poisoning,ght to the Code of Laws of South Carolina, 1976, as contained herei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den.  Any use of the text, section headings, or catchlines of the 197trimental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Departm6 Code is subject to the terms of federal copyright and other applient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addicable laws and such text, section headings, or catchlines may not btional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e reproduced in whole or in part in any form or for inclusion in anof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violay material which is offered for sale or lease without the express wtion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atedritten permission of the Chairman of the South Carolina Legislative any structure, which  Council or the Code Commissioner of South Carolina.This statutory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inspectdatabase is current through the 2001 Regular Session and the 2001 Eors,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perxtra Session of the South Carolina General Assembly.  Changes to thsons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ande statutes enacted by the 2002 General Assembly, which will convene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in January 2002, will be incorporated as soon as possible.  Some c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hanges enacted by the 2002 General Assembly may take immediate effefacilities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certificct.  The State of South Carolina and the South Carolina Legislativeate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 Council make no warranty as to the accuracy of the data, and usersxecuted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