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wcable laws and such text, section headings, or catchlines may not be reproduced in whole or in part in any form or for inclusion in any material which is offered for sale or lease without the express written permission of the Chairman of the South Carolina Legislativehere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Council or the Code Commissioner of South Carolina.This statutory database is current through the 2001 Regular Session and the 2001 Extra Session of the South Carolina General Assembly.  Changes to the statutes enacted by the 2002 General Assembly, which will conveneto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 in January 2002, will be incorporated as soon as possible.  Some changes enacted by the 2002 General Assembly may take immediate effect.  The State of South Carolina and the South Carolina Legislative Council make no warranty as to the accuracy of the data, and users45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