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n.  Any use of the text, section headings, or catchlines of the 1976 Code is subject to the terms of federal copyright and other appliconsecutive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ofcable laws and such text, section headings, or catchlines may not be reproduced in whole or in part in any form or for inclusion in anfer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purpy material which is offered for sale or lease without the express written permission of the Chairman of the South Carolina Legislativeose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 Council or the Code Commissioner of South Carolina.This statutory database is current through the 2001 Regular Session and the 2001 Et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11-xtra Session of the South Carolina General Assembly.  Changes to the statutes enacted by the 2002 General Assembly, which will convene12-92)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in January 2002, will be incorporated as soon as possible.  Some changes enacted by the 2002 General Assembly may take immediate effebe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“fct.  The State of South Carolina and the South Carolina Legislative Council make no warranty as to the accuracy of the data, and usersorty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