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municipalitytwo (2) years, to demolish and remove such structure.</w:t>
      </w:r>
    </w:p>
    <w:p>
      <w:pPr>
        <w:pStyle w:val=""/>
        <w:jc w:val="both"/>
      </w:pPr>
      <w:r>
        <w:rPr>
          <w:rFonts w:ascii="" w:hAnsi="" w:cs="" w:eastAsia=""/>
          <w:b w:val="false"/>
          <w:i w:val="false"/>
          <w:strike w:val="false"/>
          <w:color w:val=""/>
        </w:rPr>
        <w:t>If repair, alteration or improvement of the structur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sural. The Code Ofch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work,n</w:t>
      </w:r>
      <w:r>
        <w:rPr>
          <w:rFonts w:ascii="" w:hAnsi="" w:cs="" w:eastAsia=""/>
          <w:b w:val="false"/>
          <w:i w:val="false"/>
          <w:strike w:val="false"/>
          <w:color w:val=""/>
        </w:rPr>
        <w:t>g the receipt of such compliance order or notice of violation for making the corrections or repairs required by such compliance order or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