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Copyright and DisclaimerThe State of South Carolina owns the copyright to the Code oexercise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poisoning,f Laws of South Carolina, 1976, as contained herein.  Any use of the text, section h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deeadings, or catchlines of the 1976 Code is subject to the terms of federal copyrighttrimental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 and other applicable laws and such text, section headings, or catchlines may not beent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 reproduced in whole or in part in any form or for inclusion in any material which 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s offered for sale or lease without the express written permission of the Chairman oof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violaf the South Carolina Legislative Council or the Code Commissioner of South Carolina.tion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atedThis statutory database is current through the 2001 Regular Session and the 2001 Ext any structure, which ra Session of the South Carolina General Assembly.  Changes to the statutes enacted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inspectby the 2002 General Assembly, which will convene in January 2002, will be incorporators,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pered as soon as possible.  Some changes enacted by the 2002 General Assembly may take 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andimmediate effect.  The State of South Carolina and the South Carolina Legislative Co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fallenuncil make no warranty as to the accuracy of the data, and users rely on the data 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tirely at their own risk.The Legislative Council by law is charged with compiling anfacilities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certificd publishing the 1976 Code and it is maintained in a database which may be accessed 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efor commercial purposes by contacting the Legislative Council or the office of Legislative Prinxecuted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