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Carolina owns the copyright to the Code oServices”.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ff Laws of South Carolina, 1976, as containumigating,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eed herein.  Any use of the text, section hxecutor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ceadings, or catchlines of the 1976 Code isontrol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 subject to the terms of federal copyrightoes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 and other applicable laws and such text, 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businesssection headings, or catchlines may not be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reproduced in whole or in part in any fortwo (2) years, to demolish and remove such structure.</w:t>
      </w:r>
    </w:p>
    <w:p>
      <w:pPr>
        <w:pStyle w:val=""/>
        <w:jc w:val="both"/>
      </w:pPr>
      <w:r>
        <w:rPr>
          <w:rFonts w:ascii="" w:hAnsi="" w:cs="" w:eastAsia=""/>
          <w:b w:val="false"/>
          <w:i w:val="false"/>
          <w:strike w:val="false"/>
          <w:color w:val=""/>
        </w:rPr>
        <w:t>If repair, alteration or improvement of the structurm or for inclusion in any material which ie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s offered for sale or lease without the exoccupancy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requirpress written permission of the Chairman oed,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municif the South Carolina Legislative Council opality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finr the Code Commissioner of South Carolina.al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GeneThis statutory database is current throughral. The Code Of the 2001 Regular Session and the 2001 Extficial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nra Session of the South Carolina General Aotice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thisssembly.  Changes to the statutes enacted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by the 2002 General Assembly, which will cafe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windonvene in January 2002, will be incorporat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separated as soon as possible.  Some changes enace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bted by the 2002 General Assembly may take 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rooimmediate effect.  The State of South Caroming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lina and the South Carolina Legislative Co21-10;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acknowledgiuncil make no warranty as to the accuracy n</w:t>
      </w:r>
      <w:r>
        <w:rPr>
          <w:rFonts w:ascii="" w:hAnsi="" w:cs="" w:eastAsia=""/>
          <w:b w:val="false"/>
          <w:i w:val="false"/>
          <w:strike w:val="false"/>
          <w:color w:val=""/>
        </w:rPr>
        <w:t>g the receipt of such compliance order or notice of violation for making the corrections or repairs required by such compliance order or of the data, and users rely on the data ennotice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tirely at their own risk.The Legislative Cnuisance.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theouncil by law is charged with compiling an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md publishing the 1976 Code and it is maintaintenance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Neighborhooained in a database which may be accessed 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Ofor commercial purposes by contacting the 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_______________________________Legislative Council or the office of Legislative Prin_________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