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oCopyright and DisclaimerThe State of South Carolina owns the copyright to the Code of Laws of South Carolina, 1976, as contained herein.  Any use of the text, section her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adings, or catchlines of the 1976 Code is subject to the terms of federal copyright and other applicable laws and such text, section headings, or catchlines may not be rconsecutive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ofeproduced in whole or in part in any form or for inclusion in any material which is offered for sale or lease without the express written permission of the Chairman of tfer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purphe South Carolina Legislative Council or the Code Commissioner of South Carolina.This statutory database is current through the 2001 Regular Session and the 2001 Extra Sose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thaession of the South Carolina General Assembly.  Changes to the statutes enacted by the 2002 General Assembly, which will convene in January 2002, will be incorporated ast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 soon as possible.  Some changes enacted by the 2002 General Assembly may take immediate effect.  The State of South Carolina and the South Carolina Legislative Council 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make no warranty as to the accuracy of the data, and users rely on the data entirely at their own risk.The Legislative Council by law is charged with compiling and publibe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“fshing the 1976 Code and it is maintained in a database which may be accessed for commercial purposes by contacting the Legislative Council or the office of Legislative Prinorty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