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 resources, both prehistoric and historic, provide us with evidence of human life and culture in past ages.  Prehistoric archaeology attempts to reconstruct the lifestyle of the original human inhabitantsLA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aTIgo opened up the </w:t>
      </w:r>
      <w:r>
        <w:rPr>
          <w:rFonts w:ascii="Arial Narrow" w:hAnsi="Arial Narrow" w:cs="Arial Narrow" w:eastAsia="Arial Narrow"/>
          <w:b w:val="false"/>
          <w:i w:val="false"/>
          <w:strike w:val="false"/>
          <w:color w:val=""/>
        </w:rPr>
        <w:t>NGMaine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 Try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intertO ribal networks,PU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mostBL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jurisdictioICn,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 Pey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extensARive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siteKSs.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in.Bcorporates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O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RDa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fAIor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PNEresumpscot,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exploreD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populatbyion of the area had already peaked.  Although new communities were settled, particularly in the northern part of the jurisdiction, the area as a whole was depopulating by the turn of the century. That trend continued unt 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recreahetional,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 Pary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alleo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shorelinepls, any acte 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stateof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 te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perhemit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Cfor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ity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