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r>
        <w:rPr>
          <w:rFonts w:ascii="Arial Narrow" w:hAnsi="Arial Narrow" w:cs="Arial Narrow" w:eastAsia="Arial Narrow"/>
          <w:b w:val="false"/>
          <w:i w:val="false"/>
          <w:strike w:val="false"/>
          <w:color w:val=""/>
        </w:rPr>
        <w:t>Note: This draft evolved from planning staff reseRELATING TO PUBLIC PARKS.BE IT ORDAINED by the People of the City and County of Honolulu:SECTION 1.  Purpose. The purpose of this ordinaarch and Commission meetings held between 2005 and 2007.  It is intended to serve as a vehicle for discussion at Public Workshops – to stimulate conversation and dialogue about issues of importance in the jurisdiction.  This draft will be revised following public comment and discussion associated with Public Workshops to produce a final draft for the formal Public Hearing process.</w:t>
      </w:r>
    </w:p>
    <w:p>
      <w:pPr>
        <w:pStyle w:val="Heading1SectionHeading"/>
        <w:jc w:val="left"/>
      </w:pPr>
      <w:r>
        <w:rPr>
          <w:rFonts w:ascii="" w:hAnsi="" w:cs="" w:eastAsia=""/>
          <w:b w:val="false"/>
          <w:i w:val="false"/>
          <w:strike w:val="false"/>
          <w:color w:val=""/>
        </w:rPr>
        <w:t xml:space="preserve">5.4  </w:t>
      </w:r>
      <w:r>
        <w:rPr>
          <w:rFonts w:ascii="" w:hAnsi="" w:cs="" w:eastAsia=""/>
          <w:b w:val="false"/>
          <w:i w:val="false"/>
          <w:strike w:val="false"/>
          <w:color w:val=""/>
        </w:rPr>
        <w:t>Cultural</w:t>
      </w:r>
      <w:r>
        <w:rPr>
          <w:rFonts w:ascii="" w:hAnsi="" w:cs="" w:eastAsia=""/>
          <w:b w:val="false"/>
          <w:i w:val="false"/>
          <w:strike w:val="false"/>
          <w:color w:val=""/>
        </w:rPr>
        <w:t>, Archaeological and Historical Resources</w:t>
      </w:r>
    </w:p>
    <w:p>
      <w:pPr>
        <w:pStyle w:val="BodyText2"/>
        <w:jc w:val="both"/>
      </w:pP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292929"/>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333333"/>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4D4D4D"/>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5F5F5F"/>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777777"/>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808080"/>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969696"/>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B2B2B2"/>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r>
        <w:rPr>
          <w:rFonts w:ascii="" w:hAnsi="" w:cs="" w:eastAsia=""/>
          <w:b w:val="false"/>
          <w:i w:val="false"/>
          <w:strike w:val="false"/>
          <w:color w:val="C0C0C0"/>
          <w:sz w:val="16"/>
        </w:rPr>
        <w:t xml:space="preserve"> </w:t>
      </w:r>
    </w:p>
    <w:p>
      <w:pPr>
        <w:pStyle w:val=""/>
        <w:jc w:val="both"/>
      </w:pPr>
      <w:r>
        <w:rPr>
          <w:rFonts w:ascii="Arial Narrow" w:hAnsi="Arial Narrow" w:cs="Arial Narrow" w:eastAsia="Arial Narrow"/>
          <w:b w:val="false"/>
          <w:i w:val="false"/>
          <w:strike w:val="false"/>
          <w:color w:val=""/>
        </w:rPr>
        <w:t xml:space="preserve">Human activity throughout LURC's jurisdiction has resulted, over time, in a variety of cultural resources.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These resources possess educational, scientific and social values that help us understand our heritage and contribute to our sense of the state, and </w:t>
      </w:r>
      <w:r>
        <w:rPr>
          <w:rFonts w:ascii="Arial Narrow" w:hAnsi="Arial Narrow" w:cs="Arial Narrow" w:eastAsia="Arial Narrow"/>
          <w:b w:val="false"/>
          <w:i w:val="false"/>
          <w:strike w:val="false"/>
          <w:color w:val=""/>
        </w:rPr>
        <w:t>its</w:t>
      </w:r>
      <w:r>
        <w:rPr>
          <w:rFonts w:ascii="Arial Narrow" w:hAnsi="Arial Narrow" w:cs="Arial Narrow" w:eastAsia="Arial Narrow"/>
          <w:b w:val="false"/>
          <w:i w:val="false"/>
          <w:strike w:val="false"/>
          <w:color w:val=""/>
        </w:rPr>
        <w:t xml:space="preserve"> North Woods, as a unique place.  Cultural resources include Indian canoe routes, prehistoric archaeological sites, historic archaeological sites, and historical structures, di</w:t>
      </w:r>
      <w:r>
        <w:rPr>
          <w:rFonts w:ascii="Arial Narrow" w:hAnsi="Arial Narrow" w:cs="Arial Narrow" w:eastAsia="Arial Narrow"/>
          <w:b w:val="false"/>
          <w:i w:val="false"/>
          <w:strike w:val="false"/>
          <w:color w:val=""/>
        </w:rPr>
        <w:t>stricts, trails and landmarks.</w:t>
      </w:r>
    </w:p>
    <w:p>
      <w:pPr>
        <w:pStyle w:val=""/>
        <w:jc w:val="both"/>
      </w:pPr>
      <w:r>
        <w:rPr>
          <w:rFonts w:ascii="Arial Narrow" w:hAnsi="Arial Narrow" w:cs="Arial Narrow" w:eastAsia="Arial Narrow"/>
          <w:b w:val="false"/>
          <w:i w:val="false"/>
          <w:strike w:val="false"/>
          <w:color w:val=""/>
        </w:rPr>
        <w:t xml:space="preserve">Archaeological resources, both prehistoric and historic, provide us with evidence of human life and culture in past ages.  Prehistoric archaeology attempts to reconstruct the lifestyle of the original human inhabitants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from the end of the Ice Age to the arrival of the Europeans and written history.  Historic archaeology analyzes the settlements and forts of the period from 1600 on, helping to expand the historical record.  Historical resources in the form of structures, sites or landmarks are associated with past events or people of significance in the history of the state, represent an architectural style of a distinct period, or both.  Criteria exist at both the federal and state level for evaluating the significance of such resources for placement on the National Register of Historic Places,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's Archaeological Survey and the Statewide Historic Archaeological Inventory.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A</w:t>
      </w:r>
      <w:r>
        <w:rPr>
          <w:rFonts w:ascii="" w:hAnsi="" w:cs="" w:eastAsia=""/>
          <w:b w:val="false"/>
          <w:i w:val="false"/>
          <w:strike w:val="false"/>
          <w:color w:val=""/>
        </w:rPr>
        <w:t xml:space="preserve">  </w:t>
      </w:r>
      <w:r>
        <w:rPr>
          <w:rFonts w:ascii="" w:hAnsi="" w:cs="" w:eastAsia=""/>
          <w:b w:val="false"/>
          <w:i w:val="false"/>
          <w:strike w:val="false"/>
          <w:color w:val=""/>
        </w:rPr>
        <w:t xml:space="preserve">Early History and </w:t>
      </w:r>
      <w:r>
        <w:rPr>
          <w:rFonts w:ascii="" w:hAnsi="" w:cs="" w:eastAsia=""/>
          <w:b w:val="false"/>
          <w:i w:val="false"/>
          <w:strike w:val="false"/>
          <w:color w:val=""/>
        </w:rPr>
        <w:t>Archaeological Resources</w:t>
      </w:r>
    </w:p>
    <w:p>
      <w:pPr>
        <w:pStyle w:val=""/>
        <w:jc w:val="both"/>
      </w:pPr>
      <w:r>
        <w:rPr>
          <w:rFonts w:ascii="Arial Narrow" w:hAnsi="Arial Narrow" w:cs="Arial Narrow" w:eastAsia="Arial Narrow"/>
          <w:b w:val="false"/>
          <w:i w:val="false"/>
          <w:strike w:val="false"/>
          <w:color w:val=""/>
        </w:rPr>
        <w:t xml:space="preserve">The first people known to inhabit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the Paleoindians, moved in from the south or west about 11,000 years ago as the land area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was recovering from its last glaciation.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tended to camp on very well-drained soils away from river valleys and were probably the only prehistoric people to have lived in such areas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Trees spread across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toward the end of the Paleoindian period, forcing subsequent inhabitants to live and travel along lakes</w:t>
      </w:r>
      <w:r>
        <w:rPr>
          <w:rFonts w:ascii="Arial Narrow" w:hAnsi="Arial Narrow" w:cs="Arial Narrow" w:eastAsia="Arial Narrow"/>
          <w:b w:val="false"/>
          <w:i w:val="false"/>
          <w:strike w:val="false"/>
          <w:color w:val=""/>
        </w:rPr>
        <w:t>, waterways and coastal areas.</w:t>
      </w:r>
    </w:p>
    <w:p>
      <w:pPr>
        <w:pStyle w:val=""/>
        <w:jc w:val="both"/>
      </w:pPr>
      <w:r>
        <w:rPr>
          <w:rFonts w:ascii="Arial Narrow" w:hAnsi="Arial Narrow" w:cs="Arial Narrow" w:eastAsia="Arial Narrow"/>
          <w:b w:val="false"/>
          <w:i w:val="false"/>
          <w:strike w:val="false"/>
          <w:color w:val=""/>
        </w:rPr>
        <w:t xml:space="preserve">Travel on the ocean, main rivers and major lakes in dugout canoes characterized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between 10,000 and 3,000 years ago.  Native American settlements concentrated at the inlets and outlets of major and medium-sized lakes, along the main river valleys, and in coastal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development of the birchbark canoe sometime between 4,000 and 3,nce is to define camping.SECTION 2.  Section 10-1.1, Revised Ordinances of Honolulu 1990, as amended, is further amended to read as foll500 years ago opened up the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interior away from major lakes and rivers.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Canoes enabled an increasingly dispersed settlement pattern around lakes and smaller streams during the late Archaic and Ceramic periods.</w:t>
      </w:r>
    </w:p>
    <w:p>
      <w:pPr>
        <w:pStyle w:val=""/>
        <w:jc w:val="both"/>
      </w:pPr>
      <w:r>
        <w:rPr>
          <w:rFonts w:ascii="Arial Narrow" w:hAnsi="Arial Narrow" w:cs="Arial Narrow" w:eastAsia="Arial Narrow"/>
          <w:b w:val="false"/>
          <w:i w:val="false"/>
          <w:strike w:val="false"/>
          <w:color w:val=""/>
        </w:rPr>
        <w:t xml:space="preserve">Native Americans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began to construct and use pottery about 3,000 years ago.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During the Ceramic period, from around 1000 B.C. to 1500 A.D., Native Americans developed a generalized hunting, fishing and gathering economy based upon the </w:t>
      </w:r>
      <w:r>
        <w:rPr>
          <w:rFonts w:ascii="Arial Narrow" w:hAnsi="Arial Narrow" w:cs="Arial Narrow" w:eastAsia="Arial Narrow"/>
          <w:b w:val="false"/>
          <w:i w:val="false"/>
          <w:strike w:val="false"/>
          <w:color w:val=""/>
        </w:rPr>
        <w:t>mobility</w:t>
      </w:r>
      <w:r>
        <w:rPr>
          <w:rFonts w:ascii="Arial Narrow" w:hAnsi="Arial Narrow" w:cs="Arial Narrow" w:eastAsia="Arial Narrow"/>
          <w:b w:val="false"/>
          <w:i w:val="false"/>
          <w:strike w:val="false"/>
          <w:color w:val=""/>
        </w:rPr>
        <w:t xml:space="preserve"> of birchbark canoes.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combined subsistence and settlement strategies to move people to seasonally available resources, or to move food and other resources to population concentrations.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Life over most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remained based almost entirely upon harvesting wild resources until well after contact with Europeans.  </w:t>
      </w:r>
    </w:p>
    <w:p>
      <w:pPr>
        <w:pStyle w:val=""/>
        <w:jc w:val="both"/>
      </w:pPr>
      <w:r>
        <w:rPr>
          <w:rFonts w:ascii="Arial Narrow" w:hAnsi="Arial Narrow" w:cs="Arial Narrow" w:eastAsia="Arial Narrow"/>
          <w:b w:val="false"/>
          <w:i w:val="false"/>
          <w:strike w:val="false"/>
          <w:color w:val=""/>
        </w:rPr>
        <w:t xml:space="preserve">When the first European explorers arrived in the 1500s, the Early Contact period began, marking the end of the prehistoric archaeological period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Contact with the explorerows:“Sec. 10-1.1Definitions.“Camp” or “camping” means the use and occupation of a public park as a temporary or permanent dwelling places initially added European materials to Native material culture, followed later by other impacts upon Native life, including intensified fur trapping and trade, changes in intertribal networks, intermittent warfare, widespread disease, and eventually, significant loss of lands.</w:t>
      </w:r>
    </w:p>
    <w:p>
      <w:pPr>
        <w:pStyle w:val=""/>
        <w:jc w:val="both"/>
      </w:pPr>
      <w:r>
        <w:rPr>
          <w:rFonts w:ascii="Arial Narrow" w:hAnsi="Arial Narrow" w:cs="Arial Narrow" w:eastAsia="Arial Narrow"/>
          <w:b w:val="false"/>
          <w:i w:val="false"/>
          <w:strike w:val="false"/>
          <w:color w:val=""/>
        </w:rPr>
        <w:t xml:space="preserve">For most of prehistory, Maine Native Americans were hunter-gatherers.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They were generally mobile in lifestyle and lived in relatively small groups.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largest communities consisted of several hundred individuals in villages which most of the population left at certain seasons.</w:t>
      </w:r>
    </w:p>
    <w:p>
      <w:pPr>
        <w:pStyle w:val=""/>
        <w:jc w:val="both"/>
      </w:pPr>
      <w:r>
        <w:rPr>
          <w:rFonts w:ascii="Arial Narrow" w:hAnsi="Arial Narrow" w:cs="Arial Narrow" w:eastAsia="Arial Narrow"/>
          <w:b w:val="false"/>
          <w:i w:val="false"/>
          <w:strike w:val="false"/>
          <w:color w:val=""/>
        </w:rPr>
        <w:t xml:space="preserve">Five types of archaeological sites are known to exist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(1) habitation and workshop sites; (2) lithic quarries; (3) cemeteries; (4) rock art and (5) waterlogged sites preserving wood or other perishables.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There are hundreds of known prehistoric archaeological sites in the jurisdiction, as well as hundreds more that are undiscovered since archaeological surveys have been done on less than 10% of the land area.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Habitation and workshop sites comprise the vast majority (over 95%)  or sleeping place between the hours of 10:00 p.m. and 5:00 a.m.“Dwelling place” means a place used for human habitation as an overnightof the </w:t>
      </w:r>
      <w:r>
        <w:rPr>
          <w:rFonts w:ascii="Arial Narrow" w:hAnsi="Arial Narrow" w:cs="Arial Narrow" w:eastAsia="Arial Narrow"/>
          <w:b w:val="false"/>
          <w:i w:val="false"/>
          <w:strike w:val="false"/>
          <w:color w:val=""/>
        </w:rPr>
        <w:t xml:space="preserve">known archaeological locations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exhibit evidence of a range of activities from food procurement a accommodation, lodging, or shelter on either a temporary or permanent basis.“Human habitation” means the act of utilizing, occupying, ond processing to tool manufacture and maintenance. More than 95% of these sites are located adjacent to canoe-navigable waters, whether coast, lake, river, strear inhabiting a place of lodging or shelter on a permanent or temporary basis as a place of residence or sojourn.“Off-leash park” means am or wetland, or former shorelines of the same.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majority of sites are</w:t>
      </w:r>
      <w:r>
        <w:rPr>
          <w:rFonts w:ascii="Arial Narrow" w:hAnsi="Arial Narrow" w:cs="Arial Narrow" w:eastAsia="Arial Narrow"/>
          <w:b w:val="false"/>
          <w:i w:val="false"/>
          <w:strike w:val="false"/>
          <w:color w:val=""/>
        </w:rPr>
        <w:t xml:space="preserve"> shallowly buried on till, sand, gravel or silt soils within 1.5 feet of the surface. Some deeply buried sites, up to three meters in depth, occur in alluvial settings along rivers and streams.</w:t>
      </w:r>
    </w:p>
    <w:p>
      <w:pPr>
        <w:pStyle w:val=""/>
        <w:jc w:val="both"/>
      </w:pPr>
      <w:r>
        <w:rPr>
          <w:rFonts w:ascii="Arial Narrow" w:hAnsi="Arial Narrow" w:cs="Arial Narrow" w:eastAsia="Arial Narrow"/>
          <w:b w:val="false"/>
          <w:i w:val="false"/>
          <w:strike w:val="false"/>
          <w:color w:val=""/>
        </w:rPr>
        <w:t xml:space="preserve">The other types of known archaeological locations are far fewer in number than habitation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Lithic quarry sites are mines for rock used in making stone tools.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are highly localized sites, occurring at bedrock outcrops or along exposed, stony stream and river bottoms with extensive cobble materials.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Cemetery sites always exist in locations with well-drained sandy or gravelly-sand soils near a large or small river or lake shore, or within 100 yards of a major habitation site.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Rock art sites occur immediately adjacent to canoe-navigable water on particular kinds of bedrock outcrops.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They include both petroglyphs and pictographs and probably date within the last 2,000 years.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Sebasticook </w:t>
      </w:r>
      <w:r>
        <w:rPr>
          <w:rFonts w:ascii="Arial Narrow" w:hAnsi="Arial Narrow" w:cs="Arial Narrow" w:eastAsia="Arial Narrow"/>
          <w:b w:val="false"/>
          <w:i w:val="false"/>
          <w:strike w:val="false"/>
          <w:color w:val=""/>
        </w:rPr>
        <w:t>fish weir</w:t>
      </w:r>
      <w:r>
        <w:rPr>
          <w:rFonts w:ascii="Arial Narrow" w:hAnsi="Arial Narrow" w:cs="Arial Narrow" w:eastAsia="Arial Narrow"/>
          <w:b w:val="false"/>
          <w:i w:val="false"/>
          <w:strike w:val="false"/>
          <w:color w:val=""/>
        </w:rPr>
        <w:t xml:space="preserve"> is the best example of a waterlogged site, where wooden stakes from  public park designated by the director of parks and recreation where dogs, and no other animal, shall be allowed to be off-leash.“Publia fish trap structure, and some associated birchbark container fc park” means any park, park roadway, playground, athletic field, beach, beach right-of-way, tennis court, golf course, swimming pool, oragments, have been preserved in anaerobic mud for between 2</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and 6</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000 years.</w:t>
      </w:r>
    </w:p>
    <w:p>
      <w:pPr>
        <w:pStyle w:val=""/>
        <w:jc w:val="both"/>
      </w:pPr>
      <w:r>
        <w:rPr>
          <w:rFonts w:ascii="Arial Narrow" w:hAnsi="Arial Narrow" w:cs="Arial Narrow" w:eastAsia="Arial Narrow"/>
          <w:b w:val="false"/>
          <w:i w:val="false"/>
          <w:strike w:val="false"/>
          <w:color w:val=""/>
        </w:rPr>
        <w:t xml:space="preserve">Examples of significant archaeological sites in the jurisdiction include both prehistoric and historic habitation and workshop sites and prehistoric quarry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Chase Lake-Munsungun Lake Archaeological District incorporates at least 18 prehistoric habitation and quarry sites within 0.1 square kilometers centered on the </w:t>
      </w:r>
      <w:r>
        <w:rPr>
          <w:rFonts w:ascii="Arial Narrow" w:hAnsi="Arial Narrow" w:cs="Arial Narrow" w:eastAsia="Arial Narrow"/>
          <w:b w:val="false"/>
          <w:i w:val="false"/>
          <w:strike w:val="false"/>
          <w:color w:val=""/>
        </w:rPr>
        <w:t>Chase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Lake-Munsungun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thoroughfare.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ranger other recreation area or facility under the control, maintenance and management of the department of parks and recreation.  “Public pa in elevation from lake level to the summits of adjacent hills, and in age from 11,000 year old Paleoindian occupations to 500-year-old Late Ceramic period campsites.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away from the lake are associark” does not include a public thoroughfare defined as a “mall” under Section 29-1.1 unless the public thoroughfare has been (1) acceptedted either with glacial outwash landforms, or with quarry outcrops of a high-quality chert.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This area was investigated in the late 1970s by the </w:t>
      </w:r>
      <w:r>
        <w:rPr>
          <w:rFonts w:ascii="Arial Narrow" w:hAnsi="Arial Narrow" w:cs="Arial Narrow" w:eastAsia="Arial Narrow"/>
          <w:b w:val="false"/>
          <w:i w:val="false"/>
          <w:strike w:val="false"/>
          <w:color w:val=""/>
        </w:rPr>
        <w:t>University</w:t>
      </w:r>
      <w:r>
        <w:rPr>
          <w:rFonts w:ascii="Arial Narrow" w:hAnsi="Arial Narrow" w:cs="Arial Narrow" w:eastAsia="Arial Narrow"/>
          <w:b w:val="false"/>
          <w:i w:val="false"/>
          <w:strike w:val="false"/>
          <w:color w:val=""/>
        </w:rPr>
        <w:t xml:space="preserve">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and listed on the National Register of Historic Places in 1979.</w:t>
      </w:r>
    </w:p>
    <w:p>
      <w:pPr>
        <w:pStyle w:val=""/>
        <w:jc w:val="both"/>
      </w:pPr>
      <w:r>
        <w:rPr>
          <w:rFonts w:ascii="Arial Narrow" w:hAnsi="Arial Narrow" w:cs="Arial Narrow" w:eastAsia="Arial Narrow"/>
          <w:b w:val="false"/>
          <w:i w:val="false"/>
          <w:strike w:val="false"/>
          <w:color w:val=""/>
        </w:rPr>
        <w:t xml:space="preserve">The Vail site in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near </w:t>
      </w:r>
      <w:r>
        <w:rPr>
          <w:rFonts w:ascii="Arial Narrow" w:hAnsi="Arial Narrow" w:cs="Arial Narrow" w:eastAsia="Arial Narrow"/>
          <w:b w:val="false"/>
          <w:i w:val="false"/>
          <w:strike w:val="false"/>
          <w:color w:val=""/>
        </w:rPr>
        <w:t>Lake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Aziscohos</w:t>
      </w:r>
      <w:r>
        <w:rPr>
          <w:rFonts w:ascii="Arial Narrow" w:hAnsi="Arial Narrow" w:cs="Arial Narrow" w:eastAsia="Arial Narrow"/>
          <w:b w:val="false"/>
          <w:i w:val="false"/>
          <w:strike w:val="false"/>
          <w:color w:val=""/>
        </w:rPr>
        <w:t xml:space="preserve"> in 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is an example of a large Paleoindian habitation site.  It is surrounded by many smaller habitation sites, one with a stone meat cache, as well as two killing grounds.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The sites occur on sandy soils and are associated with the valley, stream and a kettle hole.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Following identification of Paleoindian tools in the collection of Francis Vail in the early 1980s, subsequent professional excavation of eight or nine locations recovered over 4,000 tools and a survey of most of the </w:t>
      </w:r>
      <w:r>
        <w:rPr>
          <w:rFonts w:ascii="Arial Narrow" w:hAnsi="Arial Narrow" w:cs="Arial Narrow" w:eastAsia="Arial Narrow"/>
          <w:b w:val="false"/>
          <w:i w:val="false"/>
          <w:strike w:val="false"/>
          <w:color w:val=""/>
        </w:rPr>
        <w:t>Magalloway</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Valley</w:t>
      </w:r>
      <w:r>
        <w:rPr>
          <w:rFonts w:ascii="Arial Narrow" w:hAnsi="Arial Narrow" w:cs="Arial Narrow" w:eastAsia="Arial Narrow"/>
          <w:b w:val="false"/>
          <w:i w:val="false"/>
          <w:strike w:val="false"/>
          <w:color w:val=""/>
        </w:rPr>
        <w:t xml:space="preserve"> revealed at lea, dedicated, or named by the council expressly as a “public park” or “park”; (2) placed under the control, maintenance, and management ost eight more sites.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Prior to the identification of the killing grounds and stone cache, neither had been recorded east of the </w:t>
      </w:r>
      <w:r>
        <w:rPr>
          <w:rFonts w:ascii="Arial Narrow" w:hAnsi="Arial Narrow" w:cs="Arial Narrow" w:eastAsia="Arial Narrow"/>
          <w:b w:val="false"/>
          <w:i w:val="false"/>
          <w:strike w:val="false"/>
          <w:color w:val=""/>
        </w:rPr>
        <w:t>Mississippi River</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 Vail site and associated killing ground are listed on the National Register as an individual site.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European Settlement</w:t>
      </w:r>
    </w:p>
    <w:p>
      <w:pPr>
        <w:pStyle w:val=""/>
        <w:jc w:val="both"/>
      </w:pPr>
      <w:r>
        <w:rPr>
          <w:rFonts w:ascii="Arial Narrow" w:hAnsi="Arial Narrow" w:cs="Arial Narrow" w:eastAsia="Arial Narrow"/>
          <w:b w:val="false"/>
          <w:i w:val="false"/>
          <w:strike w:val="false"/>
          <w:color w:val=""/>
        </w:rPr>
        <w:t xml:space="preserve">Shortly after European explorers came to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coast in the 1500s, European settlers followed, stopping on coastal shores and islands for fishing and fur trading, and later turning to farming, shipbuilding, quarrying and timber harvesting.  Settlement didn't begin in the interior of the mainland until around 18f and classified expressly as a “public park” or “park” by the department of parks and recreation; or (3) constructed or situated within00, spreading inland from south to north. The earliest settlements depended upon subsistence agriculture and </w:t>
      </w:r>
      <w:r>
        <w:rPr>
          <w:rFonts w:ascii="Arial Narrow" w:hAnsi="Arial Narrow" w:cs="Arial Narrow" w:eastAsia="Arial Narrow"/>
          <w:b w:val="false"/>
          <w:i w:val="false"/>
          <w:strike w:val="false"/>
          <w:color w:val=""/>
        </w:rPr>
        <w:t>small scale timber harvesting.</w:t>
      </w:r>
    </w:p>
    <w:p>
      <w:pPr>
        <w:pStyle w:val=""/>
        <w:jc w:val="both"/>
      </w:pPr>
      <w:r>
        <w:rPr>
          <w:rFonts w:ascii="Arial Narrow" w:hAnsi="Arial Narrow" w:cs="Arial Narrow" w:eastAsia="Arial Narrow"/>
          <w:b w:val="false"/>
          <w:i w:val="false"/>
          <w:strike w:val="false"/>
          <w:color w:val=""/>
        </w:rPr>
        <w:t xml:space="preserve">Timber harvesting operations advanced eastward and northward from river to river, from the Saco to the Presumpscot, and then on to the Kennebec as far north as </w:t>
      </w:r>
      <w:r>
        <w:rPr>
          <w:rFonts w:ascii="Arial Narrow" w:hAnsi="Arial Narrow" w:cs="Arial Narrow" w:eastAsia="Arial Narrow"/>
          <w:b w:val="false"/>
          <w:i w:val="false"/>
          <w:strike w:val="false"/>
          <w:color w:val=""/>
        </w:rPr>
        <w:t>Moosehead Lake</w:t>
      </w:r>
      <w:r>
        <w:rPr>
          <w:rFonts w:ascii="Arial Narrow" w:hAnsi="Arial Narrow" w:cs="Arial Narrow" w:eastAsia="Arial Narrow"/>
          <w:b w:val="false"/>
          <w:i w:val="false"/>
          <w:strike w:val="false"/>
          <w:color w:val=""/>
        </w:rPr>
        <w:t xml:space="preserve">.  The peak of the lumbering activity occurred along the </w:t>
      </w:r>
      <w:r>
        <w:rPr>
          <w:rFonts w:ascii="Arial Narrow" w:hAnsi="Arial Narrow" w:cs="Arial Narrow" w:eastAsia="Arial Narrow"/>
          <w:b w:val="false"/>
          <w:i w:val="false"/>
          <w:strike w:val="false"/>
          <w:color w:val=""/>
        </w:rPr>
        <w:t>Penobscot River</w:t>
      </w:r>
      <w:r>
        <w:rPr>
          <w:rFonts w:ascii="Arial Narrow" w:hAnsi="Arial Narrow" w:cs="Arial Narrow" w:eastAsia="Arial Narrow"/>
          <w:b w:val="false"/>
          <w:i w:val="false"/>
          <w:strike w:val="false"/>
          <w:color w:val=""/>
        </w:rPr>
        <w:t xml:space="preserve"> during the 19th century, following the river's East and West Branches deep into the wildlands.  Throughout the 18th and 19th centuries, timber was transported by oxen, horses, and water.  Elaborate systems of dams, lakes, canals, rivers a larger specific recreation area or facility listed in the preceding sentence.“Sleeping place” means a place used by a person for the  and booms were devised to control and facilitate log movement.  Lumber camps were built to house loggers. Farms were carved out of the wilderness to supply forage, beddi</w:t>
      </w:r>
      <w:r>
        <w:rPr>
          <w:rFonts w:ascii="Arial Narrow" w:hAnsi="Arial Narrow" w:cs="Arial Narrow" w:eastAsia="Arial Narrow"/>
          <w:b w:val="false"/>
          <w:i w:val="false"/>
          <w:strike w:val="false"/>
          <w:color w:val=""/>
        </w:rPr>
        <w:t>ng, produce, meat and shelter.</w:t>
      </w:r>
    </w:p>
    <w:p>
      <w:pPr>
        <w:pStyle w:val=""/>
        <w:jc w:val="both"/>
      </w:pPr>
      <w:r>
        <w:rPr>
          <w:rFonts w:ascii="Arial Narrow" w:hAnsi="Arial Narrow" w:cs="Arial Narrow" w:eastAsia="Arial Narrow"/>
          <w:b w:val="false"/>
          <w:i w:val="false"/>
          <w:strike w:val="false"/>
          <w:color w:val=""/>
        </w:rPr>
        <w:t xml:space="preserve">The opening of the Maine Woods to logging also opened the interior of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to other human activities during the 19th century.  In addition to settlers, people came from the industrializing cities of the East Coast to vacation, exploring the forests, waterways, mountains and islands.  Some stayed in expensive resorts like Kineo, Harfords Point and Seboomook; others chose simpler sporting camps offering guide services to the choicest hunting and fishing spots; still others came with their own canoes, tents and guidebooks to explore on their own.  In any case, </w:t>
      </w:r>
      <w:r>
        <w:rPr>
          <w:rFonts w:ascii="Arial Narrow" w:hAnsi="Arial Narrow" w:cs="Arial Narrow" w:eastAsia="Arial Narrow"/>
          <w:b w:val="false"/>
          <w:i w:val="false"/>
          <w:strike w:val="false"/>
          <w:color w:val=""/>
        </w:rPr>
        <w:t>areas of the jurisdiction were</w:t>
      </w:r>
      <w:r>
        <w:rPr>
          <w:rFonts w:ascii="Arial Narrow" w:hAnsi="Arial Narrow" w:cs="Arial Narrow" w:eastAsia="Arial Narrow"/>
          <w:b w:val="false"/>
          <w:i w:val="false"/>
          <w:strike w:val="false"/>
          <w:color w:val=""/>
        </w:rPr>
        <w:t xml:space="preserve"> on the map as a vacation and recreation destination.</w:t>
      </w:r>
    </w:p>
    <w:p>
      <w:pPr>
        <w:pStyle w:val=""/>
        <w:jc w:val="both"/>
      </w:pPr>
      <w:r>
        <w:rPr>
          <w:rFonts w:ascii="Arial Narrow" w:hAnsi="Arial Narrow" w:cs="Arial Narrow" w:eastAsia="Arial Narrow"/>
          <w:b w:val="false"/>
          <w:i w:val="false"/>
          <w:strike w:val="false"/>
          <w:color w:val=""/>
        </w:rPr>
        <w:t>The jurisdiction never became heavily populated, and by 1890, the population of the area had already peaked.  Although new communities were settled, particularly in the northern part of the jurisdiction, the area as a whole was depopulating by the turn of the century. That trend continued until 1970, when the po</w:t>
      </w:r>
      <w:r>
        <w:rPr>
          <w:rFonts w:ascii="Arial Narrow" w:hAnsi="Arial Narrow" w:cs="Arial Narrow" w:eastAsia="Arial Narrow"/>
          <w:b w:val="false"/>
          <w:i w:val="false"/>
          <w:strike w:val="false"/>
          <w:color w:val=""/>
        </w:rPr>
        <w:t>pulation began to grow slowly.</w:t>
      </w:r>
    </w:p>
    <w:p>
      <w:pPr>
        <w:pStyle w:val=""/>
        <w:jc w:val="both"/>
      </w:pPr>
      <w:r>
        <w:rPr>
          <w:rFonts w:ascii="Arial Narrow" w:hAnsi="Arial Narrow" w:cs="Arial Narrow" w:eastAsia="Arial Narrow"/>
          <w:b w:val="false"/>
          <w:i w:val="false"/>
          <w:strike w:val="false"/>
          <w:color w:val=""/>
        </w:rPr>
        <w:t>The most well known historical resources in the jurisdiction relate to the early days of the timber industry and consist of canals, dams, railways, sluiceways, logging settlements and farms. Other resources include architecturally significant structures and districts, historical commercial sites, such as sporting camps, historical industrial sites, and military</w:t>
      </w:r>
      <w:r>
        <w:rPr>
          <w:rFonts w:ascii="Arial Narrow" w:hAnsi="Arial Narrow" w:cs="Arial Narrow" w:eastAsia="Arial Narrow"/>
          <w:b w:val="false"/>
          <w:i w:val="false"/>
          <w:strike w:val="false"/>
          <w:color w:val=""/>
        </w:rPr>
        <w:t xml:space="preserve"> fortifications and artifacts.</w:t>
      </w:r>
    </w:p>
    <w:p>
      <w:pPr>
        <w:pStyle w:val=""/>
        <w:jc w:val="both"/>
      </w:pPr>
      <w:r>
        <w:rPr>
          <w:rFonts w:ascii="Arial Narrow" w:hAnsi="Arial Narrow" w:cs="Arial Narrow" w:eastAsia="Arial Narrow"/>
          <w:b w:val="false"/>
          <w:i w:val="false"/>
          <w:strike w:val="false"/>
          <w:color w:val=""/>
        </w:rPr>
        <w:t xml:space="preserve">One example of an historic archaeological period habitation and workshop site is a farm settlement established in northwestern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in the 1830s.  It features a large farm which produced quantities of hay and grain to support logging operations in the area until about 1930.  The site consists of two dwellings and several barns and outbuildings along with several other former farms and a depot along a river.  This site is important by virtue of its early date for the region and its symbiotic relationship with the logging industry.</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Cultural Resources</w:t>
      </w:r>
    </w:p>
    <w:p>
      <w:pPr>
        <w:pStyle w:val=""/>
        <w:jc w:val="both"/>
      </w:pP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jurisdiction possesses a variety of </w:t>
      </w:r>
      <w:r>
        <w:rPr>
          <w:rFonts w:ascii="Arial Narrow" w:hAnsi="Arial Narrow" w:cs="Arial Narrow" w:eastAsia="Arial Narrow"/>
          <w:b w:val="false"/>
          <w:i w:val="false"/>
          <w:strike w:val="false"/>
          <w:color w:val=""/>
        </w:rPr>
        <w:t xml:space="preserve">historical </w:t>
      </w:r>
      <w:r>
        <w:rPr>
          <w:rFonts w:ascii="Arial Narrow" w:hAnsi="Arial Narrow" w:cs="Arial Narrow" w:eastAsia="Arial Narrow"/>
          <w:b w:val="false"/>
          <w:i w:val="false"/>
          <w:strike w:val="false"/>
          <w:color w:val=""/>
        </w:rPr>
        <w:t>resources</w:t>
      </w:r>
      <w:r>
        <w:rPr>
          <w:rFonts w:ascii="Arial Narrow" w:hAnsi="Arial Narrow" w:cs="Arial Narrow" w:eastAsia="Arial Narrow"/>
          <w:b w:val="false"/>
          <w:i w:val="false"/>
          <w:strike w:val="false"/>
          <w:color w:val=""/>
        </w:rPr>
        <w:t xml:space="preserve">, all of which </w:t>
      </w:r>
      <w:r>
        <w:rPr>
          <w:rFonts w:ascii="Arial Narrow" w:hAnsi="Arial Narrow" w:cs="Arial Narrow" w:eastAsia="Arial Narrow"/>
          <w:b w:val="false"/>
          <w:i w:val="false"/>
          <w:strike w:val="false"/>
          <w:color w:val=""/>
        </w:rPr>
        <w:t xml:space="preserve">contribute to the cultural heritage of the state.  </w:t>
      </w:r>
      <w:r>
        <w:rPr>
          <w:rFonts w:ascii="Arial Narrow" w:hAnsi="Arial Narrow" w:cs="Arial Narrow" w:eastAsia="Arial Narrow"/>
          <w:b w:val="false"/>
          <w:i w:val="false"/>
          <w:strike w:val="false"/>
          <w:color w:val=""/>
        </w:rPr>
        <w:t xml:space="preserve">Though </w:t>
      </w:r>
      <w:r>
        <w:rPr>
          <w:rFonts w:ascii="Arial Narrow" w:hAnsi="Arial Narrow" w:cs="Arial Narrow" w:eastAsia="Arial Narrow"/>
          <w:b w:val="false"/>
          <w:i w:val="false"/>
          <w:strike w:val="false"/>
          <w:color w:val=""/>
        </w:rPr>
        <w:t>many of these</w:t>
      </w:r>
      <w:r>
        <w:rPr>
          <w:rFonts w:ascii="Arial Narrow" w:hAnsi="Arial Narrow" w:cs="Arial Narrow" w:eastAsia="Arial Narrow"/>
          <w:b w:val="false"/>
          <w:i w:val="false"/>
          <w:strike w:val="false"/>
          <w:color w:val=""/>
        </w:rPr>
        <w:t xml:space="preserve"> resources are embedded in the past, their legacy </w:t>
      </w:r>
      <w:r>
        <w:rPr>
          <w:rFonts w:ascii="Arial Narrow" w:hAnsi="Arial Narrow" w:cs="Arial Narrow" w:eastAsia="Arial Narrow"/>
          <w:b w:val="false"/>
          <w:i w:val="false"/>
          <w:strike w:val="false"/>
          <w:color w:val=""/>
        </w:rPr>
        <w:t xml:space="preserve">continues </w:t>
      </w:r>
      <w:r>
        <w:rPr>
          <w:rFonts w:ascii="Arial Narrow" w:hAnsi="Arial Narrow" w:cs="Arial Narrow" w:eastAsia="Arial Narrow"/>
          <w:b w:val="false"/>
          <w:i w:val="false"/>
          <w:strike w:val="false"/>
          <w:color w:val=""/>
        </w:rPr>
        <w:t>to</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influence </w:t>
      </w:r>
      <w:r>
        <w:rPr>
          <w:rFonts w:ascii="Arial Narrow" w:hAnsi="Arial Narrow" w:cs="Arial Narrow" w:eastAsia="Arial Narrow"/>
          <w:b w:val="false"/>
          <w:i w:val="false"/>
          <w:strike w:val="false"/>
          <w:color w:val=""/>
        </w:rPr>
        <w:t>and shape the jurisdiction</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current </w:t>
      </w:r>
      <w:r>
        <w:rPr>
          <w:rFonts w:ascii="Arial Narrow" w:hAnsi="Arial Narrow" w:cs="Arial Narrow" w:eastAsia="Arial Narrow"/>
          <w:b w:val="false"/>
          <w:i w:val="false"/>
          <w:strike w:val="false"/>
          <w:color w:val=""/>
        </w:rPr>
        <w:t>sense of culture</w:t>
      </w:r>
      <w:r>
        <w:rPr>
          <w:rFonts w:ascii="Arial Narrow" w:hAnsi="Arial Narrow" w:cs="Arial Narrow" w:eastAsia="Arial Narrow"/>
          <w:b w:val="false"/>
          <w:i w:val="false"/>
          <w:strike w:val="false"/>
          <w:color w:val=""/>
        </w:rPr>
        <w:t xml:space="preserve"> and heritage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Continued forest management activities </w:t>
      </w:r>
      <w:r>
        <w:rPr>
          <w:rFonts w:ascii="Arial Narrow" w:hAnsi="Arial Narrow" w:cs="Arial Narrow" w:eastAsia="Arial Narrow"/>
          <w:b w:val="false"/>
          <w:i w:val="false"/>
          <w:strike w:val="false"/>
          <w:color w:val=""/>
        </w:rPr>
        <w:t>and purpose of sleeping, where the person is asleep inside a tent, sleeping bag, or some form of temporary shelter or is asleep atop of or cthe maintenance of overed by materials such as a cot, mat, bedroll, bedding, sheet, blanket, pillow, bag, cardboard, or newspapers.”SECTION 3.  New ordinana worki</w:t>
      </w:r>
      <w:r>
        <w:rPr>
          <w:rFonts w:ascii="Arial Narrow" w:hAnsi="Arial Narrow" w:cs="Arial Narrow" w:eastAsia="Arial Narrow"/>
          <w:b w:val="false"/>
          <w:i w:val="false"/>
          <w:strike w:val="false"/>
          <w:color w:val=""/>
        </w:rPr>
        <w:t>ng landscape remain part of the heritage and culture of the jurisdi</w:t>
      </w:r>
      <w:r>
        <w:rPr>
          <w:rFonts w:ascii="Arial Narrow" w:hAnsi="Arial Narrow" w:cs="Arial Narrow" w:eastAsia="Arial Narrow"/>
          <w:b w:val="false"/>
          <w:i w:val="false"/>
          <w:strike w:val="false"/>
          <w:color w:val=""/>
        </w:rPr>
        <w:t>c</w:t>
      </w:r>
      <w:r>
        <w:rPr>
          <w:rFonts w:ascii="Arial Narrow" w:hAnsi="Arial Narrow" w:cs="Arial Narrow" w:eastAsia="Arial Narrow"/>
          <w:b w:val="false"/>
          <w:i w:val="false"/>
          <w:strike w:val="false"/>
          <w:color w:val=""/>
        </w:rPr>
        <w:t>tion</w:t>
      </w:r>
      <w:r>
        <w:rPr>
          <w:rFonts w:ascii="Arial Narrow" w:hAnsi="Arial Narrow" w:cs="Arial Narrow" w:eastAsia="Arial Narrow"/>
          <w:b w:val="false"/>
          <w:i w:val="false"/>
          <w:strike w:val="false"/>
          <w:color w:val=""/>
        </w:rPr>
        <w:t>.  Similarly, Native American tribes</w:t>
      </w:r>
      <w:r>
        <w:rPr>
          <w:rFonts w:ascii="Arial Narrow" w:hAnsi="Arial Narrow" w:cs="Arial Narrow" w:eastAsia="Arial Narrow"/>
          <w:b w:val="false"/>
          <w:i w:val="false"/>
          <w:strike w:val="false"/>
          <w:color w:val=""/>
        </w:rPr>
        <w:t xml:space="preserve">, to include the </w:t>
      </w:r>
      <w:r>
        <w:rPr>
          <w:rFonts w:ascii="Arial Narrow" w:hAnsi="Arial Narrow" w:cs="Arial Narrow" w:eastAsia="Arial Narrow"/>
          <w:b w:val="false"/>
          <w:i w:val="false"/>
          <w:strike w:val="false"/>
          <w:color w:val=""/>
        </w:rPr>
        <w:t>Aroostook</w:t>
      </w:r>
      <w:r>
        <w:rPr>
          <w:rFonts w:ascii="Arial Narrow" w:hAnsi="Arial Narrow" w:cs="Arial Narrow" w:eastAsia="Arial Narrow"/>
          <w:b w:val="false"/>
          <w:i w:val="false"/>
          <w:strike w:val="false"/>
          <w:color w:val=""/>
        </w:rPr>
        <w:t xml:space="preserve"> band of Micmacs, Houlton band of Maliseets, Passamaquoddy Tribe of Indian Township, Passamaquoddy Tribe at Pleasant Point, and the Penobscot Nation</w:t>
      </w:r>
      <w:r>
        <w:rPr>
          <w:rFonts w:ascii="Arial Narrow" w:hAnsi="Arial Narrow" w:cs="Arial Narrow" w:eastAsia="Arial Narrow"/>
          <w:b w:val="false"/>
          <w:i w:val="false"/>
          <w:strike w:val="false"/>
          <w:color w:val=""/>
        </w:rPr>
        <w:t xml:space="preserve"> continue to contribute to the cultural resources of the jurisdiction as well as the state.</w:t>
      </w:r>
    </w:p>
    <w:p>
      <w:pPr>
        <w:pStyle w:val=""/>
        <w:jc w:val="both"/>
      </w:pPr>
      <w:r>
        <w:rPr>
          <w:rFonts w:ascii="Arial Narrow" w:hAnsi="Arial Narrow" w:cs="Arial Narrow" w:eastAsia="Arial Narrow"/>
          <w:b w:val="false"/>
          <w:i w:val="false"/>
          <w:strike w:val="false"/>
          <w:color w:val=""/>
        </w:rPr>
        <w:t xml:space="preserve">There </w:t>
      </w:r>
      <w:r>
        <w:rPr>
          <w:rFonts w:ascii="Arial Narrow" w:hAnsi="Arial Narrow" w:cs="Arial Narrow" w:eastAsia="Arial Narrow"/>
          <w:b w:val="false"/>
          <w:i w:val="false"/>
          <w:strike w:val="false"/>
          <w:color w:val=""/>
        </w:rPr>
        <w:t>are many state</w:t>
      </w:r>
      <w:r>
        <w:rPr>
          <w:rFonts w:ascii="Arial Narrow" w:hAnsi="Arial Narrow" w:cs="Arial Narrow" w:eastAsia="Arial Narrow"/>
          <w:b w:val="false"/>
          <w:i w:val="false"/>
          <w:strike w:val="false"/>
          <w:color w:val=""/>
        </w:rPr>
        <w:t xml:space="preserve"> as well as regional efforts to promote cultural resources as part of ecotourism.  </w:t>
      </w:r>
      <w:r>
        <w:rPr>
          <w:rFonts w:ascii="Arial Narrow" w:hAnsi="Arial Narrow" w:cs="Arial Narrow" w:eastAsia="Arial Narrow"/>
          <w:b w:val="false"/>
          <w:i w:val="false"/>
          <w:strike w:val="false"/>
          <w:color w:val=""/>
        </w:rPr>
        <w:t xml:space="preserve">Efforts range from creating specific centers to creating narrative guides to important historical travel routes and specifically include: The Natural Resources Education Center in </w:t>
      </w:r>
      <w:r>
        <w:rPr>
          <w:rFonts w:ascii="Arial Narrow" w:hAnsi="Arial Narrow" w:cs="Arial Narrow" w:eastAsia="Arial Narrow"/>
          <w:b w:val="false"/>
          <w:i w:val="false"/>
          <w:strike w:val="false"/>
          <w:color w:val=""/>
        </w:rPr>
        <w:t>Greenville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Maine Indian Basketmakers Alliance,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Wes</w:t>
      </w:r>
      <w:r>
        <w:rPr>
          <w:rFonts w:ascii="Arial Narrow" w:hAnsi="Arial Narrow" w:cs="Arial Narrow" w:eastAsia="Arial Narrow"/>
          <w:b w:val="false"/>
          <w:i w:val="false"/>
          <w:strike w:val="false"/>
          <w:color w:val=""/>
        </w:rPr>
        <w:t>tern Maine Cultural</w:t>
      </w:r>
      <w:r>
        <w:rPr>
          <w:rFonts w:ascii="Arial Narrow" w:hAnsi="Arial Narrow" w:cs="Arial Narrow" w:eastAsia="Arial Narrow"/>
          <w:b w:val="false"/>
          <w:i w:val="false"/>
          <w:strike w:val="false"/>
          <w:color w:val=""/>
        </w:rPr>
        <w:t xml:space="preserve"> Alliance</w:t>
      </w:r>
      <w:r>
        <w:rPr>
          <w:rFonts w:ascii="Arial Narrow" w:hAnsi="Arial Narrow" w:cs="Arial Narrow" w:eastAsia="Arial Narrow"/>
          <w:b w:val="false"/>
          <w:i w:val="false"/>
          <w:strike w:val="false"/>
          <w:color w:val=""/>
        </w:rPr>
        <w:t xml:space="preserve">, The Abbe Museum, </w:t>
      </w:r>
      <w:r>
        <w:rPr>
          <w:rFonts w:ascii="Arial Narrow" w:hAnsi="Arial Narrow" w:cs="Arial Narrow" w:eastAsia="Arial Narrow"/>
          <w:b w:val="false"/>
          <w:i w:val="false"/>
          <w:strike w:val="false"/>
          <w:color w:val=""/>
        </w:rPr>
        <w:t xml:space="preserve">and </w:t>
      </w:r>
      <w:r>
        <w:rPr>
          <w:rFonts w:ascii="Arial Narrow" w:hAnsi="Arial Narrow" w:cs="Arial Narrow" w:eastAsia="Arial Narrow"/>
          <w:b w:val="false"/>
          <w:i w:val="false"/>
          <w:strike w:val="false"/>
          <w:color w:val=""/>
        </w:rPr>
        <w:t>t</w:t>
      </w:r>
      <w:r>
        <w:rPr>
          <w:rFonts w:ascii="Arial Narrow" w:hAnsi="Arial Narrow" w:cs="Arial Narrow" w:eastAsia="Arial Narrow"/>
          <w:b w:val="false"/>
          <w:i w:val="false"/>
          <w:strike w:val="false"/>
          <w:color w:val=""/>
        </w:rPr>
        <w:t xml:space="preserve">he </w:t>
      </w:r>
      <w:r>
        <w:rPr>
          <w:rFonts w:ascii="Arial Narrow" w:hAnsi="Arial Narrow" w:cs="Arial Narrow" w:eastAsia="Arial Narrow"/>
          <w:b w:val="false"/>
          <w:i w:val="false"/>
          <w:strike w:val="false"/>
          <w:color w:val=""/>
        </w:rPr>
        <w:t>Thoreau-</w:t>
      </w:r>
      <w:r>
        <w:rPr>
          <w:rFonts w:ascii="Arial Narrow" w:hAnsi="Arial Narrow" w:cs="Arial Narrow" w:eastAsia="Arial Narrow"/>
          <w:b w:val="false"/>
          <w:i w:val="false"/>
          <w:strike w:val="false"/>
          <w:color w:val=""/>
        </w:rPr>
        <w:t>Wabanaki Trail initiative.</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D</w:t>
      </w:r>
      <w:r>
        <w:rPr>
          <w:rFonts w:ascii="" w:hAnsi="" w:cs="" w:eastAsia=""/>
          <w:b w:val="false"/>
          <w:i w:val="false"/>
          <w:strike w:val="false"/>
          <w:color w:val=""/>
        </w:rPr>
        <w:t xml:space="preserve">  </w:t>
      </w:r>
      <w:r>
        <w:rPr>
          <w:rFonts w:ascii="" w:hAnsi="" w:cs="" w:eastAsia=""/>
          <w:b w:val="false"/>
          <w:i w:val="false"/>
          <w:strike w:val="false"/>
          <w:color w:val=""/>
        </w:rPr>
        <w:t>LURC Regulatory Approach</w:t>
      </w:r>
    </w:p>
    <w:p>
      <w:pPr>
        <w:pStyle w:val=""/>
        <w:jc w:val="both"/>
      </w:pPr>
      <w:r>
        <w:rPr>
          <w:rFonts w:ascii="Arial Narrow" w:hAnsi="Arial Narrow" w:cs="Arial Narrow" w:eastAsia="Arial Narrow"/>
          <w:b w:val="false"/>
          <w:i w:val="false"/>
          <w:strike w:val="false"/>
          <w:color w:val=""/>
        </w:rPr>
        <w:t xml:space="preserve">The Commission employs the </w:t>
      </w:r>
      <w:r>
        <w:rPr>
          <w:rFonts w:ascii="Arial Narrow" w:hAnsi="Arial Narrow" w:cs="Arial Narrow" w:eastAsia="Arial Narrow"/>
          <w:b w:val="false"/>
          <w:i w:val="false"/>
          <w:strike w:val="false"/>
          <w:color w:val=""/>
        </w:rPr>
        <w:t>Unusual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Area</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Protection</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Subdistrict</w:t>
      </w:r>
      <w:r>
        <w:rPr>
          <w:rFonts w:ascii="Arial Narrow" w:hAnsi="Arial Narrow" w:cs="Arial Narrow" w:eastAsia="Arial Narrow"/>
          <w:b w:val="false"/>
          <w:i w:val="false"/>
          <w:strike w:val="false"/>
          <w:color w:val=""/>
        </w:rPr>
        <w:t xml:space="preserve"> (P-UA) to protect important historic, scenic, scientific, recreational, </w:t>
      </w:r>
      <w:r>
        <w:rPr>
          <w:rFonts w:ascii="Arial Narrow" w:hAnsi="Arial Narrow" w:cs="Arial Narrow" w:eastAsia="Arial Narrow"/>
          <w:b w:val="false"/>
          <w:i w:val="false"/>
          <w:strike w:val="false"/>
          <w:color w:val=""/>
        </w:rPr>
        <w:t>aesthetic</w:t>
      </w:r>
      <w:r>
        <w:rPr>
          <w:rFonts w:ascii="Arial Narrow" w:hAnsi="Arial Narrow" w:cs="Arial Narrow" w:eastAsia="Arial Narrow"/>
          <w:b w:val="false"/>
          <w:i w:val="false"/>
          <w:strike w:val="false"/>
          <w:color w:val=""/>
        </w:rPr>
        <w:t xml:space="preserve"> or water resources which have special land management requirements which cannot be met by another zone.  This zone can be applied to historical, archaeological and other cultural sites and resources. The Commission protects a number of historical sites and trails through P-UA designation. These include the Arnold Trail, </w:t>
      </w:r>
      <w:r>
        <w:rPr>
          <w:rFonts w:ascii="Arial Narrow" w:hAnsi="Arial Narrow" w:cs="Arial Narrow" w:eastAsia="Arial Narrow"/>
          <w:b w:val="false"/>
          <w:i w:val="false"/>
          <w:strike w:val="false"/>
          <w:color w:val=""/>
        </w:rPr>
        <w:t>Pittston Farm,</w:t>
      </w:r>
      <w:r>
        <w:rPr>
          <w:rFonts w:ascii="Arial Narrow" w:hAnsi="Arial Narrow" w:cs="Arial Narrow" w:eastAsia="Arial Narrow"/>
          <w:b w:val="false"/>
          <w:i w:val="false"/>
          <w:strike w:val="false"/>
          <w:color w:val=""/>
        </w:rPr>
        <w:t xml:space="preserve"> Katahdin Iron Works, and the Monhegan Island Lighthouse area. Other protection subdistricts encompass additional resources </w:t>
      </w:r>
      <w:r>
        <w:rPr>
          <w:rFonts w:ascii="Arial Narrow" w:hAnsi="Arial Narrow" w:cs="Arial Narrow" w:eastAsia="Arial Narrow"/>
          <w:b w:val="false"/>
          <w:i w:val="false"/>
          <w:strike w:val="false"/>
          <w:color w:val=""/>
        </w:rPr>
        <w:t>such as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Telos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Canal</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which </w:t>
      </w:r>
      <w:r>
        <w:rPr>
          <w:rFonts w:ascii="Arial Narrow" w:hAnsi="Arial Narrow" w:cs="Arial Narrow" w:eastAsia="Arial Narrow"/>
          <w:b w:val="false"/>
          <w:i w:val="false"/>
          <w:strike w:val="false"/>
          <w:color w:val=""/>
        </w:rPr>
        <w:t>is in a Recreation Protection (P-RR) Subdistrict.</w:t>
      </w:r>
    </w:p>
    <w:p>
      <w:pPr>
        <w:pStyle w:val=""/>
        <w:jc w:val="both"/>
      </w:pPr>
      <w:r>
        <w:rPr>
          <w:rFonts w:ascii="Arial Narrow" w:hAnsi="Arial Narrow" w:cs="Arial Narrow" w:eastAsia="Arial Narrow"/>
          <w:b w:val="false"/>
          <w:i w:val="false"/>
          <w:strike w:val="false"/>
          <w:color w:val=""/>
        </w:rPr>
        <w:t xml:space="preserve">Due to the vastness of the jurisdiction, not all of the important historical resources in the jurisdiction have been identified and zoned.  Consequently, </w:t>
      </w:r>
      <w:r>
        <w:rPr>
          <w:rFonts w:ascii="Arial Narrow" w:hAnsi="Arial Narrow" w:cs="Arial Narrow" w:eastAsia="Arial Narrow"/>
          <w:b w:val="false"/>
          <w:i w:val="false"/>
          <w:strike w:val="false"/>
          <w:color w:val=""/>
        </w:rPr>
        <w:t xml:space="preserve">the Land Use Regulation Commission </w:t>
      </w:r>
      <w:r>
        <w:rPr>
          <w:rFonts w:ascii="Arial Narrow" w:hAnsi="Arial Narrow" w:cs="Arial Narrow" w:eastAsia="Arial Narrow"/>
          <w:b w:val="false"/>
          <w:i w:val="false"/>
          <w:strike w:val="false"/>
          <w:color w:val=""/>
        </w:rPr>
        <w:t>and the Maine Historic Preservation Commission</w:t>
      </w:r>
      <w:r>
        <w:rPr>
          <w:rFonts w:ascii="Arial Narrow" w:hAnsi="Arial Narrow" w:cs="Arial Narrow" w:eastAsia="Arial Narrow"/>
          <w:b w:val="false"/>
          <w:i w:val="false"/>
          <w:strike w:val="false"/>
          <w:color w:val=""/>
        </w:rPr>
        <w:t xml:space="preserve"> (MHPC)</w:t>
      </w:r>
      <w:r>
        <w:rPr>
          <w:rFonts w:ascii="Arial Narrow" w:hAnsi="Arial Narrow" w:cs="Arial Narrow" w:eastAsia="Arial Narrow"/>
          <w:b w:val="false"/>
          <w:i w:val="false"/>
          <w:strike w:val="false"/>
          <w:color w:val=""/>
        </w:rPr>
        <w:t xml:space="preserve"> worked together to incorporate an assessment </w:t>
      </w:r>
      <w:r>
        <w:rPr>
          <w:rFonts w:ascii="Arial Narrow" w:hAnsi="Arial Narrow" w:cs="Arial Narrow" w:eastAsia="Arial Narrow"/>
          <w:b w:val="false"/>
          <w:i w:val="false"/>
          <w:strike w:val="false"/>
          <w:color w:val=""/>
        </w:rPr>
        <w:t>of</w:t>
      </w:r>
      <w:r>
        <w:rPr>
          <w:rFonts w:ascii="Arial Narrow" w:hAnsi="Arial Narrow" w:cs="Arial Narrow" w:eastAsia="Arial Narrow"/>
          <w:b w:val="false"/>
          <w:i w:val="false"/>
          <w:strike w:val="false"/>
          <w:color w:val=""/>
        </w:rPr>
        <w:t xml:space="preserve"> the</w:t>
      </w:r>
      <w:r>
        <w:rPr>
          <w:rFonts w:ascii="Arial Narrow" w:hAnsi="Arial Narrow" w:cs="Arial Narrow" w:eastAsia="Arial Narrow"/>
          <w:b w:val="false"/>
          <w:i w:val="false"/>
          <w:strike w:val="false"/>
          <w:color w:val=""/>
        </w:rPr>
        <w:t xml:space="preserve"> cultural significance of lakes into LURC's lake database.  </w:t>
      </w:r>
      <w:r>
        <w:rPr>
          <w:rFonts w:ascii="Arial Narrow" w:hAnsi="Arial Narrow" w:cs="Arial Narrow" w:eastAsia="Arial Narrow"/>
          <w:b w:val="false"/>
          <w:i w:val="false"/>
          <w:strike w:val="false"/>
          <w:color w:val=""/>
        </w:rPr>
        <w:t>Th</w:t>
      </w:r>
      <w:r>
        <w:rPr>
          <w:rFonts w:ascii="Arial Narrow" w:hAnsi="Arial Narrow" w:cs="Arial Narrow" w:eastAsia="Arial Narrow"/>
          <w:b w:val="false"/>
          <w:i w:val="false"/>
          <w:strike w:val="false"/>
          <w:color w:val=""/>
        </w:rPr>
        <w:t>is</w:t>
      </w:r>
      <w:r>
        <w:rPr>
          <w:rFonts w:ascii="Arial Narrow" w:hAnsi="Arial Narrow" w:cs="Arial Narrow" w:eastAsia="Arial Narrow"/>
          <w:b w:val="false"/>
          <w:i w:val="false"/>
          <w:strike w:val="false"/>
          <w:color w:val=""/>
        </w:rPr>
        <w:t xml:space="preserve"> assessment is based upon </w:t>
      </w:r>
      <w:r>
        <w:rPr>
          <w:rFonts w:ascii="Arial Narrow" w:hAnsi="Arial Narrow" w:cs="Arial Narrow" w:eastAsia="Arial Narrow"/>
          <w:b w:val="false"/>
          <w:i w:val="false"/>
          <w:strike w:val="false"/>
          <w:color w:val=""/>
        </w:rPr>
        <w:t xml:space="preserve">an evaluation of </w:t>
      </w:r>
      <w:r>
        <w:rPr>
          <w:rFonts w:ascii="Arial Narrow" w:hAnsi="Arial Narrow" w:cs="Arial Narrow" w:eastAsia="Arial Narrow"/>
          <w:b w:val="false"/>
          <w:i w:val="false"/>
          <w:strike w:val="false"/>
          <w:color w:val=""/>
        </w:rPr>
        <w:t>features listed i</w:t>
      </w:r>
      <w:r>
        <w:rPr>
          <w:rFonts w:ascii="Arial Narrow" w:hAnsi="Arial Narrow" w:cs="Arial Narrow" w:eastAsia="Arial Narrow"/>
          <w:b w:val="false"/>
          <w:i w:val="false"/>
          <w:strike w:val="false"/>
          <w:color w:val=""/>
        </w:rPr>
        <w:t xml:space="preserve">n the National Register of Historic Places,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's Archaeological Survey, </w:t>
      </w:r>
      <w:r>
        <w:rPr>
          <w:rFonts w:ascii="Arial Narrow" w:hAnsi="Arial Narrow" w:cs="Arial Narrow" w:eastAsia="Arial Narrow"/>
          <w:b w:val="false"/>
          <w:i w:val="false"/>
          <w:strike w:val="false"/>
          <w:color w:val=""/>
        </w:rPr>
        <w:t>Statewide</w:t>
      </w:r>
      <w:r>
        <w:rPr>
          <w:rFonts w:ascii="Arial Narrow" w:hAnsi="Arial Narrow" w:cs="Arial Narrow" w:eastAsia="Arial Narrow"/>
          <w:b w:val="false"/>
          <w:i w:val="false"/>
          <w:strike w:val="false"/>
          <w:color w:val=""/>
        </w:rPr>
        <w:t xml:space="preserve"> Historic Archaeological Inventory and in </w:t>
      </w:r>
      <w:r>
        <w:rPr>
          <w:rFonts w:ascii="Arial Narrow" w:hAnsi="Arial Narrow" w:cs="Arial Narrow" w:eastAsia="Arial Narrow"/>
          <w:b w:val="false"/>
          <w:i w:val="false"/>
          <w:strike w:val="false"/>
          <w:color w:val=""/>
        </w:rPr>
        <w:t xml:space="preserve">the publication, </w:t>
      </w:r>
      <w:r>
        <w:rPr>
          <w:rFonts w:ascii="Arial Narrow" w:hAnsi="Arial Narrow" w:cs="Arial Narrow" w:eastAsia="Arial Narrow"/>
          <w:b w:val="false"/>
          <w:i w:val="false"/>
          <w:strike w:val="false"/>
          <w:color w:val=""/>
        </w:rPr>
        <w:t>Above the Gravel Bar</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  Indian Canoe Routes in </w:t>
      </w:r>
      <w:r>
        <w:rPr>
          <w:rFonts w:ascii="Arial Narrow" w:hAnsi="Arial Narrow" w:cs="Arial Narrow" w:eastAsia="Arial Narrow"/>
          <w:b w:val="false"/>
          <w:i w:val="false"/>
          <w:strike w:val="false"/>
          <w:color w:val=""/>
        </w:rPr>
        <w:t>Maine</w:t>
      </w:r>
      <w:r>
        <w:rPr>
          <w:rFonts w:ascii="Arial Narrow" w:hAnsi="Arial Narrow" w:cs="Arial Narrow" w:eastAsia="Arial Narrow"/>
          <w:b w:val="false"/>
          <w:i w:val="false"/>
          <w:strike w:val="false"/>
          <w:color w:val=""/>
        </w:rPr>
        <w:t xml:space="preserve">.   </w:t>
      </w:r>
    </w:p>
    <w:p>
      <w:pPr>
        <w:pStyle w:val=""/>
        <w:jc w:val="both"/>
      </w:pPr>
      <w:r>
        <w:rPr>
          <w:rFonts w:ascii="Arial Narrow" w:hAnsi="Arial Narrow" w:cs="Arial Narrow" w:eastAsia="Arial Narrow"/>
          <w:b w:val="false"/>
          <w:i w:val="false"/>
          <w:strike w:val="false"/>
          <w:color w:val=""/>
        </w:rPr>
        <w:t xml:space="preserve">The </w:t>
      </w:r>
      <w:r>
        <w:rPr>
          <w:rFonts w:ascii="Arial Narrow" w:hAnsi="Arial Narrow" w:cs="Arial Narrow" w:eastAsia="Arial Narrow"/>
          <w:b w:val="false"/>
          <w:i w:val="false"/>
          <w:strike w:val="false"/>
          <w:color w:val=""/>
        </w:rPr>
        <w:t>Maine Historic Preservation Comm</w:t>
      </w:r>
      <w:r>
        <w:rPr>
          <w:rFonts w:ascii="Arial Narrow" w:hAnsi="Arial Narrow" w:cs="Arial Narrow" w:eastAsia="Arial Narrow"/>
          <w:b w:val="false"/>
          <w:i w:val="false"/>
          <w:strike w:val="false"/>
          <w:color w:val=""/>
        </w:rPr>
        <w:t>ission has dat</w:t>
      </w:r>
      <w:r>
        <w:rPr>
          <w:rFonts w:ascii="Arial Narrow" w:hAnsi="Arial Narrow" w:cs="Arial Narrow" w:eastAsia="Arial Narrow"/>
          <w:b w:val="false"/>
          <w:i w:val="false"/>
          <w:strike w:val="false"/>
          <w:color w:val=""/>
        </w:rPr>
        <w:t>a of known archaeological and culturally signifi</w:t>
      </w:r>
      <w:r>
        <w:rPr>
          <w:rFonts w:ascii="Arial Narrow" w:hAnsi="Arial Narrow" w:cs="Arial Narrow" w:eastAsia="Arial Narrow"/>
          <w:b w:val="false"/>
          <w:i w:val="false"/>
          <w:strike w:val="false"/>
          <w:color w:val=""/>
        </w:rPr>
        <w:t>cant sites for the jurisdiction as well as areas identified as archaeologically sensitive where significant sites may be found in the future.  Access to this data,</w:t>
      </w:r>
      <w:r>
        <w:rPr>
          <w:rFonts w:ascii="Arial Narrow" w:hAnsi="Arial Narrow" w:cs="Arial Narrow" w:eastAsia="Arial Narrow"/>
          <w:b w:val="false"/>
          <w:i w:val="false"/>
          <w:strike w:val="false"/>
          <w:color w:val=""/>
        </w:rPr>
        <w:t xml:space="preserve"> provide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w:t>
      </w:r>
      <w:r>
        <w:rPr>
          <w:rFonts w:ascii="Arial Narrow" w:hAnsi="Arial Narrow" w:cs="Arial Narrow" w:eastAsia="Arial Narrow"/>
          <w:b w:val="false"/>
          <w:i w:val="false"/>
          <w:strike w:val="false"/>
          <w:color w:val=""/>
        </w:rPr>
        <w:t xml:space="preserve">for various reasons, </w:t>
      </w:r>
      <w:r>
        <w:rPr>
          <w:rFonts w:ascii="Arial Narrow" w:hAnsi="Arial Narrow" w:cs="Arial Narrow" w:eastAsia="Arial Narrow"/>
          <w:b w:val="false"/>
          <w:i w:val="false"/>
          <w:strike w:val="false"/>
          <w:color w:val=""/>
        </w:rPr>
        <w:t>this data</w:t>
      </w:r>
      <w:r>
        <w:rPr>
          <w:rFonts w:ascii="Arial Narrow" w:hAnsi="Arial Narrow" w:cs="Arial Narrow" w:eastAsia="Arial Narrow"/>
          <w:b w:val="false"/>
          <w:i w:val="false"/>
          <w:strike w:val="false"/>
          <w:color w:val=""/>
        </w:rPr>
        <w:t xml:space="preserve"> is not available to the public</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with a valuable tool for assessing the potential arc</w:t>
      </w:r>
      <w:r>
        <w:rPr>
          <w:rFonts w:ascii="Arial Narrow" w:hAnsi="Arial Narrow" w:cs="Arial Narrow" w:eastAsia="Arial Narrow"/>
          <w:b w:val="false"/>
          <w:i w:val="false"/>
          <w:strike w:val="false"/>
          <w:color w:val=""/>
        </w:rPr>
        <w:t>haeological</w:t>
      </w:r>
      <w:r>
        <w:rPr>
          <w:rFonts w:ascii="Arial Narrow" w:hAnsi="Arial Narrow" w:cs="Arial Narrow" w:eastAsia="Arial Narrow"/>
          <w:b w:val="false"/>
          <w:i w:val="false"/>
          <w:strike w:val="false"/>
          <w:color w:val=""/>
        </w:rPr>
        <w:t xml:space="preserve"> and cultural impacts assoce material is underscored.  When revising, compiling or printing this ordinance for inclusion in the Revised Ordinances of Honolulu, the rc</w:t>
      </w:r>
      <w:r>
        <w:rPr>
          <w:rFonts w:ascii="Arial Narrow" w:hAnsi="Arial Narrow" w:cs="Arial Narrow" w:eastAsia="Arial Narrow"/>
          <w:b w:val="false"/>
          <w:i w:val="false"/>
          <w:strike w:val="false"/>
          <w:color w:val=""/>
        </w:rPr>
        <w:t xml:space="preserve">iated </w:t>
      </w:r>
      <w:r>
        <w:rPr>
          <w:rFonts w:ascii="Arial Narrow" w:hAnsi="Arial Narrow" w:cs="Arial Narrow" w:eastAsia="Arial Narrow"/>
          <w:b w:val="false"/>
          <w:i w:val="false"/>
          <w:strike w:val="false"/>
          <w:color w:val=""/>
        </w:rPr>
        <w:t>with devel</w:t>
      </w:r>
      <w:r>
        <w:rPr>
          <w:rFonts w:ascii="Arial Narrow" w:hAnsi="Arial Narrow" w:cs="Arial Narrow" w:eastAsia="Arial Narrow"/>
          <w:b w:val="false"/>
          <w:i w:val="false"/>
          <w:strike w:val="false"/>
          <w:color w:val=""/>
        </w:rPr>
        <w:t>opment</w:t>
      </w:r>
      <w:r>
        <w:rPr>
          <w:rFonts w:ascii="Arial Narrow" w:hAnsi="Arial Narrow" w:cs="Arial Narrow" w:eastAsia="Arial Narrow"/>
          <w:b w:val="false"/>
          <w:i w:val="false"/>
          <w:strike w:val="false"/>
          <w:color w:val=""/>
        </w:rPr>
        <w:t xml:space="preserve"> proposals</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When </w:t>
      </w:r>
      <w:r>
        <w:rPr>
          <w:rFonts w:ascii="Arial Narrow" w:hAnsi="Arial Narrow" w:cs="Arial Narrow" w:eastAsia="Arial Narrow"/>
          <w:b w:val="false"/>
          <w:i w:val="false"/>
          <w:strike w:val="false"/>
          <w:color w:val=""/>
        </w:rPr>
        <w:t xml:space="preserve">Commission </w:t>
      </w:r>
      <w:r>
        <w:rPr>
          <w:rFonts w:ascii="Arial Narrow" w:hAnsi="Arial Narrow" w:cs="Arial Narrow" w:eastAsia="Arial Narrow"/>
          <w:b w:val="false"/>
          <w:i w:val="false"/>
          <w:strike w:val="false"/>
          <w:color w:val=""/>
        </w:rPr>
        <w:t xml:space="preserve">staff </w:t>
      </w:r>
      <w:r>
        <w:rPr>
          <w:rFonts w:ascii="Arial Narrow" w:hAnsi="Arial Narrow" w:cs="Arial Narrow" w:eastAsia="Arial Narrow"/>
          <w:b w:val="false"/>
          <w:i w:val="false"/>
          <w:strike w:val="false"/>
          <w:color w:val=""/>
        </w:rPr>
        <w:t>reviews an application f</w:t>
      </w:r>
      <w:r>
        <w:rPr>
          <w:rFonts w:ascii="Arial Narrow" w:hAnsi="Arial Narrow" w:cs="Arial Narrow" w:eastAsia="Arial Narrow"/>
          <w:b w:val="false"/>
          <w:i w:val="false"/>
          <w:strike w:val="false"/>
          <w:color w:val=""/>
        </w:rPr>
        <w:t>o</w:t>
      </w:r>
      <w:r>
        <w:rPr>
          <w:rFonts w:ascii="Arial Narrow" w:hAnsi="Arial Narrow" w:cs="Arial Narrow" w:eastAsia="Arial Narrow"/>
          <w:b w:val="false"/>
          <w:i w:val="false"/>
          <w:strike w:val="false"/>
          <w:color w:val=""/>
        </w:rPr>
        <w:t>r</w:t>
      </w:r>
      <w:r>
        <w:rPr>
          <w:rFonts w:ascii="Arial Narrow" w:hAnsi="Arial Narrow" w:cs="Arial Narrow" w:eastAsia="Arial Narrow"/>
          <w:b w:val="false"/>
          <w:i w:val="false"/>
          <w:strike w:val="false"/>
          <w:color w:val=""/>
        </w:rPr>
        <w:t xml:space="preserve"> a permit which the lakes database</w:t>
      </w:r>
      <w:r>
        <w:rPr>
          <w:rFonts w:ascii="Arial Narrow" w:hAnsi="Arial Narrow" w:cs="Arial Narrow" w:eastAsia="Arial Narrow"/>
          <w:b w:val="false"/>
          <w:i w:val="false"/>
          <w:strike w:val="false"/>
          <w:color w:val=""/>
        </w:rPr>
        <w:t xml:space="preserve"> or MH</w:t>
      </w:r>
      <w:r>
        <w:rPr>
          <w:rFonts w:ascii="Arial Narrow" w:hAnsi="Arial Narrow" w:cs="Arial Narrow" w:eastAsia="Arial Narrow"/>
          <w:b w:val="false"/>
          <w:i w:val="false"/>
          <w:strike w:val="false"/>
          <w:color w:val=""/>
        </w:rPr>
        <w:t xml:space="preserve">PC </w:t>
      </w:r>
      <w:r>
        <w:rPr>
          <w:rFonts w:ascii="Arial Narrow" w:hAnsi="Arial Narrow" w:cs="Arial Narrow" w:eastAsia="Arial Narrow"/>
          <w:b w:val="false"/>
          <w:i w:val="false"/>
          <w:strike w:val="false"/>
          <w:color w:val=""/>
        </w:rPr>
        <w:t>data</w:t>
      </w:r>
      <w:r>
        <w:rPr>
          <w:rFonts w:ascii="Arial Narrow" w:hAnsi="Arial Narrow" w:cs="Arial Narrow" w:eastAsia="Arial Narrow"/>
          <w:b w:val="false"/>
          <w:i w:val="false"/>
          <w:strike w:val="false"/>
          <w:color w:val=""/>
        </w:rPr>
        <w:t xml:space="preserve"> indicate</w:t>
      </w:r>
      <w:r>
        <w:rPr>
          <w:rFonts w:ascii="Arial Narrow" w:hAnsi="Arial Narrow" w:cs="Arial Narrow" w:eastAsia="Arial Narrow"/>
          <w:b w:val="false"/>
          <w:i w:val="false"/>
          <w:strike w:val="false"/>
          <w:color w:val=""/>
        </w:rPr>
        <w:t>s</w:t>
      </w:r>
      <w:r>
        <w:rPr>
          <w:rFonts w:ascii="Arial Narrow" w:hAnsi="Arial Narrow" w:cs="Arial Narrow" w:eastAsia="Arial Narrow"/>
          <w:b w:val="false"/>
          <w:i w:val="false"/>
          <w:strike w:val="false"/>
          <w:color w:val=""/>
        </w:rPr>
        <w:t xml:space="preserve"> is near a potentially significant archaeological or historical area or feature, the Maine Historic Preservation Commission receives a copy of the permit application and site plan for review and comment.  In some cases, the MHPC recommends that an archaeologically survey be conducted by the applicant as part of the staff review of the application.</w:t>
      </w:r>
    </w:p>
    <w:p>
      <w:pPr>
        <w:pStyle w:val="Style14ptBoldItalicJustifiedLinespacingAtleast108"/>
        <w:jc w:val="left"/>
      </w:pPr>
      <w:r>
        <w:rPr>
          <w:rFonts w:ascii="" w:hAnsi="" w:cs="" w:eastAsia=""/>
          <w:b w:val="false"/>
          <w:i w:val="false"/>
          <w:strike w:val="false"/>
          <w:color w:val=""/>
        </w:rPr>
        <w:t>5.4</w:t>
      </w:r>
      <w:r>
        <w:rPr>
          <w:rFonts w:ascii="" w:hAnsi="" w:cs="" w:eastAsia=""/>
          <w:b w:val="false"/>
          <w:i w:val="false"/>
          <w:strike w:val="false"/>
          <w:color w:val=""/>
        </w:rPr>
        <w:t>.</w:t>
      </w:r>
      <w:r>
        <w:rPr>
          <w:rFonts w:ascii="" w:hAnsi="" w:cs="" w:eastAsia=""/>
          <w:b w:val="false"/>
          <w:i w:val="false"/>
          <w:strike w:val="false"/>
          <w:color w:val=""/>
        </w:rPr>
        <w:t>E</w:t>
      </w:r>
      <w:r>
        <w:rPr>
          <w:rFonts w:ascii="" w:hAnsi="" w:cs="" w:eastAsia=""/>
          <w:b w:val="false"/>
          <w:i w:val="false"/>
          <w:strike w:val="false"/>
          <w:color w:val=""/>
        </w:rPr>
        <w:t xml:space="preserve">  </w:t>
      </w:r>
      <w:r>
        <w:rPr>
          <w:rFonts w:ascii="" w:hAnsi="" w:cs="" w:eastAsia=""/>
          <w:b w:val="false"/>
          <w:i w:val="false"/>
          <w:strike w:val="false"/>
          <w:color w:val=""/>
        </w:rPr>
        <w:t>Cultural, Archaeological and Historical Resource Issues</w:t>
      </w:r>
    </w:p>
    <w:p>
      <w:pPr>
        <w:pStyle w:val="Heading3"/>
        <w:jc w:val="left"/>
      </w:pPr>
      <w:r>
        <w:rPr>
          <w:rFonts w:ascii="Calisto MT" w:hAnsi="Calisto MT" w:cs="Calisto MT" w:eastAsia="Calisto MT"/>
          <w:b w:val="false"/>
          <w:i w:val="true"/>
          <w:strike w:val="false"/>
          <w:color w:val=""/>
          <w:sz w:val="22"/>
        </w:rPr>
        <w:t>Erosion, Development, and Vandalism</w:t>
      </w:r>
    </w:p>
    <w:p>
      <w:pPr>
        <w:pStyle w:val=""/>
        <w:jc w:val="both"/>
      </w:pPr>
      <w:r>
        <w:rPr>
          <w:rFonts w:ascii="Arial Narrow" w:hAnsi="Arial Narrow" w:cs="Arial Narrow" w:eastAsia="Arial Narrow"/>
          <w:b w:val="false"/>
          <w:i w:val="false"/>
          <w:strike w:val="false"/>
          <w:color w:val=""/>
        </w:rPr>
        <w:t xml:space="preserve">Significant archaeological sites and historical resources are eligible for listing on the National Register of Historic Places.  Legally, significant archaeological sites are those worthy of protection or excavation with public funds.  </w:t>
      </w:r>
      <w:r>
        <w:rPr>
          <w:rFonts w:ascii="Arial Narrow" w:hAnsi="Arial Narrow" w:cs="Arial Narrow" w:eastAsia="Arial Narrow"/>
          <w:b w:val="false"/>
          <w:i w:val="false"/>
          <w:strike w:val="false"/>
          <w:color w:val=""/>
        </w:rPr>
        <w:t xml:space="preserve">Criteria for eligibility </w:t>
      </w:r>
      <w:r>
        <w:rPr>
          <w:rFonts w:ascii="Arial Narrow" w:hAnsi="Arial Narrow" w:cs="Arial Narrow" w:eastAsia="Arial Narrow"/>
          <w:b w:val="false"/>
          <w:i w:val="false"/>
          <w:strike w:val="false"/>
          <w:color w:val=""/>
        </w:rPr>
        <w:t>consider</w:t>
      </w:r>
      <w:r>
        <w:rPr>
          <w:rFonts w:ascii="Arial Narrow" w:hAnsi="Arial Narrow" w:cs="Arial Narrow" w:eastAsia="Arial Narrow"/>
          <w:b w:val="false"/>
          <w:i w:val="false"/>
          <w:strike w:val="false"/>
          <w:color w:val=""/>
        </w:rPr>
        <w:t xml:space="preserve"> content and condition</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with </w:t>
      </w:r>
      <w:r>
        <w:rPr>
          <w:rFonts w:ascii="Arial Narrow" w:hAnsi="Arial Narrow" w:cs="Arial Narrow" w:eastAsia="Arial Narrow"/>
          <w:b w:val="false"/>
          <w:i w:val="false"/>
          <w:strike w:val="false"/>
          <w:color w:val=""/>
        </w:rPr>
        <w:t>specifics</w:t>
      </w:r>
      <w:r>
        <w:rPr>
          <w:rFonts w:ascii="Arial Narrow" w:hAnsi="Arial Narrow" w:cs="Arial Narrow" w:eastAsia="Arial Narrow"/>
          <w:b w:val="false"/>
          <w:i w:val="false"/>
          <w:strike w:val="false"/>
          <w:color w:val=""/>
        </w:rPr>
        <w:t xml:space="preserve"> vary</w:t>
      </w:r>
      <w:r>
        <w:rPr>
          <w:rFonts w:ascii="Arial Narrow" w:hAnsi="Arial Narrow" w:cs="Arial Narrow" w:eastAsia="Arial Narrow"/>
          <w:b w:val="false"/>
          <w:i w:val="false"/>
          <w:strike w:val="false"/>
          <w:color w:val=""/>
        </w:rPr>
        <w:t>ing</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dependent</w:t>
      </w:r>
      <w:r>
        <w:rPr>
          <w:rFonts w:ascii="Arial Narrow" w:hAnsi="Arial Narrow" w:cs="Arial Narrow" w:eastAsia="Arial Narrow"/>
          <w:b w:val="false"/>
          <w:i w:val="false"/>
          <w:strike w:val="false"/>
          <w:color w:val=""/>
        </w:rPr>
        <w:t xml:space="preserve"> on the </w:t>
      </w:r>
      <w:r>
        <w:rPr>
          <w:rFonts w:ascii="Arial Narrow" w:hAnsi="Arial Narrow" w:cs="Arial Narrow" w:eastAsia="Arial Narrow"/>
          <w:b w:val="false"/>
          <w:i w:val="false"/>
          <w:strike w:val="false"/>
          <w:color w:val=""/>
        </w:rPr>
        <w:t>age</w:t>
      </w:r>
      <w:r>
        <w:rPr>
          <w:rFonts w:ascii="Arial Narrow" w:hAnsi="Arial Narrow" w:cs="Arial Narrow" w:eastAsia="Arial Narrow"/>
          <w:b w:val="false"/>
          <w:i w:val="false"/>
          <w:strike w:val="false"/>
          <w:color w:val=""/>
        </w:rPr>
        <w:t xml:space="preserve"> of the site</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The</w:t>
      </w:r>
      <w:r>
        <w:rPr>
          <w:rFonts w:ascii="Arial Narrow" w:hAnsi="Arial Narrow" w:cs="Arial Narrow" w:eastAsia="Arial Narrow"/>
          <w:b w:val="false"/>
          <w:i w:val="false"/>
          <w:strike w:val="false"/>
          <w:color w:val=""/>
        </w:rPr>
        <w:t xml:space="preserve"> oldest sites (Paleoindian) are eligible even if they have been heavily disturbed.</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 The youngest sites (Ceramic period age sites, historic sites) must be </w:t>
      </w:r>
      <w:r>
        <w:rPr>
          <w:rFonts w:ascii="Arial Narrow" w:hAnsi="Arial Narrow" w:cs="Arial Narrow" w:eastAsia="Arial Narrow"/>
          <w:b w:val="false"/>
          <w:i w:val="false"/>
          <w:strike w:val="false"/>
          <w:color w:val=""/>
        </w:rPr>
        <w:t xml:space="preserve">minimally disturbed and must yield archaeological data such as fire hearths or separable layers of occupation, in addition to stone tools and other objects.  </w:t>
      </w:r>
    </w:p>
    <w:p>
      <w:pPr>
        <w:pStyle w:val=""/>
        <w:jc w:val="both"/>
      </w:pPr>
      <w:r>
        <w:rPr>
          <w:rFonts w:ascii="Arial Narrow" w:hAnsi="Arial Narrow" w:cs="Arial Narrow" w:eastAsia="Arial Narrow"/>
          <w:b w:val="false"/>
          <w:i w:val="false"/>
          <w:strike w:val="false"/>
          <w:color w:val=""/>
        </w:rPr>
        <w:t>Erosion, development, and vandalism can all destroy the significance of archaeological sites.  The primary protection afforded these sites comes from identification so that they can be protected from threats or excavated by professionals.</w:t>
      </w:r>
    </w:p>
    <w:p>
      <w:pPr>
        <w:pStyle w:val=""/>
        <w:jc w:val="both"/>
      </w:pPr>
      <w:r>
        <w:rPr>
          <w:rFonts w:ascii="Arial Narrow" w:hAnsi="Arial Narrow" w:cs="Arial Narrow" w:eastAsia="Arial Narrow"/>
          <w:b w:val="false"/>
          <w:i w:val="false"/>
          <w:strike w:val="false"/>
          <w:color w:val=""/>
        </w:rPr>
        <w:t xml:space="preserve">At this time, erosion poses the greatest threat to archaeological sites.  Unfortunately, artificially raised water levels on many interior lakes, as well as natural land subsidence along the coast, have resulted in water covering or eroding many sites from the </w:t>
      </w:r>
      <w:r>
        <w:rPr>
          <w:rFonts w:ascii="Arial Narrow" w:hAnsi="Arial Narrow" w:cs="Arial Narrow" w:eastAsia="Arial Narrow"/>
          <w:b w:val="false"/>
          <w:i w:val="false"/>
          <w:strike w:val="false"/>
          <w:color w:val=""/>
        </w:rPr>
        <w:t>Archaic</w:t>
      </w:r>
      <w:r>
        <w:rPr>
          <w:rFonts w:ascii="Arial Narrow" w:hAnsi="Arial Narrow" w:cs="Arial Narrow" w:eastAsia="Arial Narrow"/>
          <w:b w:val="false"/>
          <w:i w:val="false"/>
          <w:strike w:val="false"/>
          <w:color w:val=""/>
        </w:rPr>
        <w:t xml:space="preserve"> period to the present.  The greatest source of material that survives erosion fairly intact tends to be those sites sealed in the stratified sediments of</w:t>
      </w:r>
      <w:r>
        <w:rPr>
          <w:rFonts w:ascii="Arial Narrow" w:hAnsi="Arial Narrow" w:cs="Arial Narrow" w:eastAsia="Arial Narrow"/>
          <w:b w:val="false"/>
          <w:i w:val="false"/>
          <w:strike w:val="false"/>
          <w:color w:val=""/>
        </w:rPr>
        <w:t xml:space="preserve"> floodplains along the rivers.</w:t>
      </w:r>
    </w:p>
    <w:p>
      <w:pPr>
        <w:pStyle w:val=""/>
        <w:jc w:val="both"/>
      </w:pPr>
      <w:r>
        <w:rPr>
          <w:rFonts w:ascii="Arial Narrow" w:hAnsi="Arial Narrow" w:cs="Arial Narrow" w:eastAsia="Arial Narrow"/>
          <w:b w:val="false"/>
          <w:i w:val="false"/>
          <w:strike w:val="false"/>
          <w:color w:val=""/>
        </w:rPr>
        <w:t>Development runs a close second to erosion as a threat to archaeological resources.  Since most of the sites are shallowly buried and over 95% of the habitation and workshop sites occur along shorelines, any activity in shoreland areas that disturbs the top two feet of earth has the potent</w:t>
      </w:r>
      <w:r>
        <w:rPr>
          <w:rFonts w:ascii="Arial Narrow" w:hAnsi="Arial Narrow" w:cs="Arial Narrow" w:eastAsia="Arial Narrow"/>
          <w:b w:val="false"/>
          <w:i w:val="false"/>
          <w:strike w:val="false"/>
          <w:color w:val=""/>
        </w:rPr>
        <w:t>ial to severely damage a site.</w:t>
      </w:r>
    </w:p>
    <w:p>
      <w:pPr>
        <w:pStyle w:val=""/>
        <w:jc w:val="both"/>
      </w:pPr>
      <w:r>
        <w:rPr>
          <w:rFonts w:ascii="Arial Narrow" w:hAnsi="Arial Narrow" w:cs="Arial Narrow" w:eastAsia="Arial Narrow"/>
          <w:b w:val="false"/>
          <w:i w:val="false"/>
          <w:strike w:val="false"/>
          <w:color w:val=""/>
        </w:rPr>
        <w:t xml:space="preserve">Finally, vandalism, caused by nonsystematic digging for artifacts, can destroy both site and artifacts.  Vandalism usually takes the form of unauthorized excavations by artifact collectors who loot sites once locations are publicized.  This has resulted in the legal restriction of public access to information concerning the location of known or potential archaeological resources. </w:t>
      </w:r>
    </w:p>
    <w:p>
      <w:pPr>
        <w:pStyle w:val="Heading3"/>
        <w:jc w:val="left"/>
      </w:pPr>
      <w:r>
        <w:rPr>
          <w:rFonts w:ascii="Calisto MT" w:hAnsi="Calisto MT" w:cs="Calisto MT" w:eastAsia="Calisto MT"/>
          <w:b w:val="false"/>
          <w:i w:val="true"/>
          <w:strike w:val="false"/>
          <w:color w:val=""/>
          <w:sz w:val="22"/>
        </w:rPr>
        <w:t>Information Needs</w:t>
      </w:r>
    </w:p>
    <w:p>
      <w:pPr>
        <w:pStyle w:val=""/>
        <w:jc w:val="both"/>
      </w:pPr>
      <w:r>
        <w:rPr>
          <w:rFonts w:ascii="Arial Narrow" w:hAnsi="Arial Narrow" w:cs="Arial Narrow" w:eastAsia="Arial Narrow"/>
          <w:b w:val="false"/>
          <w:i w:val="false"/>
          <w:strike w:val="false"/>
          <w:color w:val=""/>
        </w:rPr>
        <w:t xml:space="preserve">As with archaeological resources, a complete inventory of historical resources in the jurisdiction has not been made.  Limited state and federal funds hinder efforts to identify the resources.  That lack of information combined with the variety and low density of known sites, structures and trails scattered across the jurisdiction's millions of acres, often in remote locations, make it difficult to develop effective preservation strategies.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2021-03-12T17:39:30Z</dcterms:created>
  <dc:creator>Apache POI</dc:creator>
</cp:coreProperties>
</file>