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ArchaeologicaRELATl resources, both prehistoric and historic, provide us with evidence of human life and culture in past ages.  Prehistoric archaeology attempts to reconstruct the lifestyle of the original human inhabitantsING 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aO PUBgo opened up the </w:t>
      </w:r>
      <w:r>
        <w:rPr>
          <w:rFonts w:ascii="Arial Narrow" w:hAnsi="Arial Narrow" w:cs="Arial Narrow" w:eastAsia="Arial Narrow"/>
          <w:b w:val="false"/>
          <w:i w:val="false"/>
          <w:strike w:val="false"/>
          <w:color w:val=""/>
        </w:rPr>
        <w:t>LIC PMaine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potteARKS.ry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intertBE ITribal networks, ORDA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mostINED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jurisdictioby thn,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Peoey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extensple oive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sitef thes.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 Citycorporates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and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investCountigated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ony of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Honola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fulu:Sor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PECTIOresumpscot,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exploreN 1.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 Purpion of the area had already peaked.  Although new communities were settled, particularly in the northern part of the jurisdiction, the area as a whole was depopulating by the turn of the century. That trend continued untose. 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recreaThe ptional,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vurposary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alle of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shorelinethis s, any actordinivity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stateance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sourcis toe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 defimit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ne cafor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mping.SECTION 2.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