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establiDshed price in effect on the contract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i"established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substasntial quantities to the general public, and (2) is the net price after applying any standardo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applicablre established price.  Each corresponding contract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thed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applicablr-Induce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