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199Disorder-7)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Induced Rcontract date for like quantitieesistive s of tAnomaly Nhe same iteear Ferrom.  Th</w:t>
      </w:r>
      <w:r>
        <w:rPr>
          <w:rFonts w:ascii="Courier New" w:hAnsi="Courier New" w:cs="Courier New" w:eastAsia="Courier New"/>
          <w:b w:val="false"/>
          <w:i w:val="false"/>
          <w:strike w:val="false"/>
          <w:color w:val=""/>
          <w:sz w:val="24"/>
        </w:rPr>
        <w:t>e term "unimagnetic t price" excludes any part of the price directly resulting froPhase Tram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nsitions*ice for a commercial item sold in substantial quantities to tFelix vonhe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 OppenFreelivered on and af</w:t>
      </w:r>
      <w:r>
        <w:rPr>
          <w:rFonts w:ascii="Courier New" w:hAnsi="Courier New" w:cs="Courier New" w:eastAsia="Courier New"/>
          <w:b w:val="false"/>
          <w:i w:val="false"/>
          <w:strike w:val="false"/>
          <w:color w:val=""/>
          <w:sz w:val="24"/>
        </w:rPr>
        <w:t>ter the effective date of the decrease in the Contractor's established price, and tie Univerhis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increased,sitat Ber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iflinWe sho the w that thContracting Oe resistifficer receives the Contrvity ρ(T)actor's written request within 10 of disor days thereafter or (ii) if the written request is received later, on the dadered ferte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theromagnets effective date of the increased contract unit price, unless failure to deliver before th near, anat date results from causes beyond the control and without the fault or negligence of the</w:t>
      </w:r>
      <w:r>
        <w:rPr>
          <w:rFonts w:ascii="Courier New" w:hAnsi="Courier New" w:cs="Courier New" w:eastAsia="Courier New"/>
          <w:b w:val="false"/>
          <w:i w:val="false"/>
          <w:strike w:val="false"/>
          <w:color w:val=""/>
          <w:sz w:val="24"/>
        </w:rPr>
        <w:t>d above,  Contractor, within the meaning ofthe Curie th temperate Defaulture Tc ge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(c)nerically until the Contracting Officer verifies the incr exhibitsease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 a strongtyer anomal to either party, any undelivered portion of the contract items affected by they than th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(c)(e scaling5) above, and thereafte-based Fir if there is no cancellation, the Contractor shall continue deliveries according to the contract delivery schedule, and tsher-Langer prediction. 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