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contr-Inducract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execued Resited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stive Anthe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