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 -----Original Message-f PEO/PMMA 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methacryla----From: Linda Mennittte) (PMMA) blends has been reported.  Studies focused on the effects of the ble [mailto:felix.com@verind composition, PMMA molecular weight, film thickness, and crystallizazon.net] Sent: Monday, tion temperature on the observed crystal morphology.  As the blend composition was varied from 90 to 30 wt% PEO, the crystal morphology vMarch 14, 2005 11:08 PMaried from spherulites to needles and dendrites.  Variation of the crystTo: commentsSubject: faallization temperature and PMMA molecular weight resulted in similar changes in morphology.  A morphological map demonstrating the roles of the experimental controls on the observed crystal morphology has been developedir tax for all Adverse .  This map Tax Consequences for Sawas used as a tool for more detailed studies of the observed morphologies and morphological transitions.  The dendritic region of the map (~ 30 – 40 wt% PEO) was studied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n-situme-Sex Couples 1.Health observations of morphological transitions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Insurance for Partnersdendrite/DBM and D - A Taxing PropositionBM/needle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:  Employees payincome 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dendrand payroll tax on the 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Authhealth insurance premiuor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23ms their employers prov0B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30ide for domestic partners1-975-3928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