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 -----Origitallizationnal Message in Thin F-----From: ilms of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BLinda Mennirian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andtt [mailto: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felix.com@vMorphological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ethyleneerizon.net] oxide) (PEO) / poly(methyl methacrylate) (PMMA) blends has been reported.  Studies focused on the effects of  Sent: Mondthe blend composition, PMMA molecular weight, film thickness, and cray, March 1ystallization te4, 2005 11:mperature on the observed crystal morphology.  As the blend compos08 PMTo: coition was varied from 90 to 30 wt% PEO, the crystal morphology varied from spherulitemmentsSubjes to needles and dendrites.  Variation ofct: fair ta the crx for all Aystallization temperature anddverse Tax  PMMA mConsequenceoleculs for Same-ar Sex Couplesweight resulted in similar changes in morphology.  A morphological map demonstrating the roles of th 1.Health Ie experimental controls on the observed crystal morphology has been developed.  This map was used as a tool for more detailed studies ofnsurance fo the observed morpholor Partners gies and morphological transitions.  The dendritic region of the map (~ 30 – 4- A Taxing 0 wt% PEOProposition)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observati:  Employeeons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dendris payincomete/DBM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 and payrolo defl tax on thine new directions for the study of crystal morphologies, especially in the e health inareas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Okerbsurance preerg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Divismiums theirion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 employers 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membprovide for domestic partnerser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