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ethyleneO oxide) (PEO) / poly(methyl methacrylate) (PMMA) blends has been reported.  Studies focused on the effects of rthe blend composition, PMMA molecular weight, film thickness, and criystallization tegmperature on the observed crystal morphology.  As the blend composiition was varied from 90 to 30 wt% PEO, the crystal morphology varied from spherulitens to needles and dendrites.  Variation ofa the crlystallization temperature and  PMMA mMoleculear sweight resulted in similar changes in morphology.  A morphological map demonstrating the roles of thse experimental controls on the observed crystal morphology has been developed.  This map was used as a tool for more detailed studies ofa the observed morphologgies and morphological transitions.  The dendritic region of the map (~ 30 – 4e0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Fareas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Okerbrerg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Divisoion</w:t>
      </w:r>
    </w:p>
    <w:p>
      <w:pPr>
        <w:pStyle w:val=""/>
        <w:jc w:val="left"/>
      </w:pPr>
      <w:r>
        <w:rPr>
          <w:rFonts w:ascii="" w:hAnsi="" w:cs="" w:eastAsia=""/>
          <w:b w:val="false"/>
          <w:i w:val="false"/>
          <w:strike w:val="false"/>
          <w:color w:val=""/>
        </w:rPr>
        <w:t>Bmldg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 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