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 -----Original Message-----From: Linda Mennitt [mailf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methacrylato:felix.com@verizon.net] Sent: Monday, March 14, 20te) (PMMA) blends has been reported.  Studies focused on the effects of the ble05 11:08 PMTo: commentsSubject: fair tax for all Advnd composition, PMMA molecular weight, film thickness, and crystallizaerse Tax Consequences for Same-Sex Couples 1.Health tion temperature on the observed crystal morphology.  As the blend composition was varied from 90 to 30 wt% PEO, the crystal morphology vInsurance for Partners - A Taxing Proposition:  Emplaried from spherulites to needles and dendrites.  Variation of the crystoyees payincome and payroll tax on the health insuraallization temperature and PMMA molecular weight resulted in similar changes in morphology.  A morphological map demonstrating the roles of the experimental controls on the observed crystal morphology has been developednce premiums their employers provide for domestic pa.  This map rtners who do not otherwise qualify as dependents. Bwas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n-situenefits for different-sex spouses are not subject to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 xml:space="preserve"> this tax. 2.Flexible Spending Accounts Not So Flexidendrite/DBM and Dble:  Employees can useflexible spending accounts toBM/needle transitions, were also reported.  The</w:t>
      </w:r>
      <w:r>
        <w:rPr>
          <w:rFonts w:ascii="" w:hAnsi="" w:cs="" w:eastAsia=""/>
          <w:b w:val="false"/>
          <w:i w:val="false"/>
          <w:strike w:val="false"/>
          <w:color w:val=""/>
        </w:rPr>
        <w:t xml:space="preserve"> results of this work  pay for a different-sex spouse's medical expenses,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dendrincluding eyeglasses, prescriptions, and co-pays, onitic growth.</w:t>
      </w:r>
    </w:p>
    <w:p>
      <w:pPr>
        <w:pStyle w:val=""/>
        <w:jc w:val="left"/>
      </w:pPr>
      <w:r>
        <w:rPr>
          <w:rFonts w:ascii="" w:hAnsi="" w:cs="" w:eastAsia=""/>
          <w:b w:val="false"/>
          <w:i w:val="false"/>
          <w:strike w:val="false"/>
          <w:color w:val=""/>
        </w:rPr>
        <w:t>Auth a pre-tax basis. These accounts cannot be used for 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23a same-sex partner, or even a same-sex spouse. 3.Ret0B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30irement Savings - Death and Taxes:  Tax treatment of 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