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been reported.  Studies focused on the effects of the blend composition, PMMA molecular weight, film thickness, and crystallization temperature on the observed crystal morphology.  As the blend composition was varied from 90 to 30 wt% PEO, the crystal morphology varied from spherulites to needles and dendrites.  Variation of the crystallization temperature and PMMA molecular weight resulted in similar changes in morphology.  A morphological map demonstrating the roles of the -----Original Message-----From: Linda Mennitt [mailto:felix.com@verizon.net] Sent: Monday, March 14, 2005 11:08 PMTo: commentsSubject: fair tax for all Adverse Tax Consequences for Same-Sex Couples 1.Health Insurance for Partners - A Taxing Proposition:  Employees payincome and payroll tax on the health insurance premiums their employers provide for domestic partners who do not otherwise qualify as dependents. B experimental controls on the observed crystal morphology has been developed.  This map was used as a tool for more detailed studies of the observed morphologies and morphological transitions.  The dendritic region of the map (~ 30 –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resultenefits for different-sex spouses are not subject to this tax. 2.Flexible Spending Accounts Not So Flexible:  Employees can useflexible spending accounts to pay for a different-sex spouse's medical expenses, including eyeglasses, prescriptions, and co-pays, on a pre-tax basis. These accounts cannot be used for a same-sex partner, or even a same-sex spouse. 3.Retirement Savings - Death and Taxes:  Tax treatment of 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