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-----Original Message-----From: Linda Mennitt [mailto:felix.com@verizon.net] Sent: Monday, March 14, 20Blends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bee05 11:08 PMTo: commentsSubject: fair tax for all Adverse Tax Consequences for Same-Sex Couples 1.Health n reported.  Studies focused on the effects of the blend compositionInsurance for Partners - A Taxing Proposition:  Employees payincome and payroll tax on the health insura, PMMA molecular weight, film thickness, and crystallization temperature on the observed crystal morphology.  As the blend composition was varied from 90 to 30 wt% PEO, the crynce premiums their employers provide for domestic partners who do not otherwise qualify as dependents. Bstal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morphologyenefits for different-sex spouses are not subject to this tax. 2.Flexible Spending Accounts Not So Flexi has been developed.  This map was used as a tool for more detailed studies of the observed morphologies and morphological transitions.  The dendritic region of the map (~ 30 – 40 wt% PEO) was studied ble:  Employees can useflexible spending accounts to pay for a different-sex spouse's medical expenses,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transitincluding eyeglasses, prescriptions, and co-pays, on a pre-tax basis. These accounts cannot be used for 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mema same-sex partner, or even a same-sex spouse. 3.Retirement Savings - Death and Taxes:  Tax treatment of 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