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-----Original Message-----From: Linda Mennitt [mailto:felix.com@verizon.net] Sent: Monday, March 14, 2005 11:08 PMTo: commentsSubject: fair tax for all Adverse Tax Consequences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beefor Same-Sex Couples 1.Health Insurance for Partners - A Taxing Proposition:  Employees payincome and payroll tax on the health insurance premiums their employers provide for domn reported.  Studies focused on the effects of the blend compositionestic partners who do not otherwise qualify as dependents. Benefits for different-sex spouses are not subject to this tax. 2.Flexible Spending Accounts Not So Flexible:  Employee, PMMA molecular weight, film thickness, and crystallization temperature on the observed crystal morphology.  As the blend composition was varied from 90 to 30 wt% PEO, the crys can useflexible spending accounts to pay for a different-sex spouse's medical expenses, including eyeglasses, prescriptions, and co-pays, on a pre-tax basis. These accounts canstal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morphologynot be used for a same-sex partner, or even a same-sex spouse. 3.Retirement Savings - Death and Taxes:  Tax treatment of retirementsavings, such as those found in 401(k) plans, p has been developed.  This map was used as a tool for more detailed studies of the observed morphologies and morphological transitions.  The dendritic region of the map (~ 30 – 40 wt% PEO) was studied rivileges spouses and penalizes same-sex couples. This means that on the death of a partner, the surviving partner is left not only with the same emotional loss that a different-in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transitsex spouse experiences, but also with an unfair tax bill. This is problem is made even more acute by the fact that same-sex couples are denied survivors' benefits under Social Seions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memcurity, even though they pay the same payroll taxes as heterosexual workers. 4.Estate and Gift Taxes - Strangers Under the Law:  Different-sexspouses get a complete exemption from esber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