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 Carolina owns the copyright to the Code of Lawber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 of South Carolina, 1976, as contained herein.  Any use of the text, section headings, os</w:t>
      </w:r>
    </w:p>
    <w:p>
      <w:pPr>
        <w:pStyle w:val=""/>
        <w:jc w:val="left"/>
      </w:pPr>
      <w:r>
        <w:rPr>
          <w:rFonts w:ascii="" w:hAnsi="" w:cs="" w:eastAsia=""/>
          <w:b w:val="false"/>
          <w:i w:val="false"/>
          <w:strike w:val="false"/>
          <w:color w:val=""/>
        </w:rPr>
        <w:t xml:space="preserve">r catchlines of the 1976 Code is subject to the terms of federal copyright and other applDr. Dvir Blivis is coming to NIH </w:t>
      </w:r>
      <w:r>
        <w:rPr>
          <w:rFonts w:ascii="" w:hAnsi="" w:cs="" w:eastAsia=""/>
          <w:b w:val="false"/>
          <w:i w:val="false"/>
          <w:strike w:val="false"/>
          <w:color w:val=""/>
        </w:rPr>
        <w:t xml:space="preserve">(10/18/06icable laws and such text, section headings, or catchlines may not be reproduced in whole 0 11/18/06) </w:t>
      </w:r>
      <w:r>
        <w:rPr>
          <w:rFonts w:ascii="" w:hAnsi="" w:cs="" w:eastAsia=""/>
          <w:b w:val="false"/>
          <w:i w:val="false"/>
          <w:strike w:val="false"/>
          <w:color w:val=""/>
        </w:rPr>
        <w:t>to p or in part in any form or for inclusion in any material which is offered for sale or leaerform cose without the express written permission of the Chairman of the South Carolina Legislatillaborative work on a project concerned with the role of funicular neuronsve Council or the Code Commissioner of South Carolina.This statutory database is current  in locomotor-lithrough the 2001 Regular Session and the 2001 Extra Session of the South Carolina Generalke activity in the neonatal mouse. Specifically, he will cut and stain sections of the Assembly.  Changes to the statutes enacted by the 2002 General Assembly, which will conv spinal cord that have been labeled with fluorescent dyes. He will analyze these sections on a confocal microscope and record and tabulate his findings. He wilene in January 2002, will be incorporated as soon as possible.  Some changes enacted by tl also perform morphological he 2002 General Assembly may take immediate effect.  The State of South Carolina and the aSouth Carolina Legislative Council make no warranty as to the accuracy of the data, and unalysis on the anatomical material with special consideration of thsers rely on the data entirely at their own risk.The Legislative Council by law is chargee synaptic connectiod with compiling and publishing the 1976 Code and it is maintained in a database which mans of the labeled funiculary be accessed for commercial purposes by contacting the Legislative Council or the office neurons with motoneurons.</w:t>
      </w:r>
    </w:p>
    <w:p>
      <w:pPr>
        <w:pStyle w:val=""/>
        <w:jc w:val="left"/>
      </w:pPr>
      <w:r>
        <w:rPr>
          <w:rFonts w:ascii="" w:hAnsi="" w:cs="" w:eastAsia=""/>
          <w:b w:val="false"/>
          <w:i w:val="false"/>
          <w:strike w:val="false"/>
          <w:color w:val=""/>
        </w:rPr>
        <w:t xml:space="preserve">Dr. Michael O’Donovan, Chief Investigator of Legislative Printing, Information and Technology Systems.CHAPTER 15. DWELLINGS UNFIT , DNS,FOR HUMAN HABITATIONARTICLE 1. IN MUNICIPALITIES OF OVER 1,000SECTION 311510. Definitions . The following terms whenever used or referred to in this article shall have the followiDIR, NINDS would ng respective meanings for the purposes of this article, unless a different meaning clearlike to providely appears from the context: (1) “Municipality” shall mean any city or town regardless of Dr.  population; (2) “Governing body” shall mean the council or other legislative body chargeBlivis with lodging and mead with governing a municipality; (3) “Public officer” shall mean the officer or officers 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$1,973.who are authorized by ordinances adopted hereunder to exercise the powers prescribed by s14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$1,449.0uch ordinances and by this article; (4) “Public authority” shall mean any housing authori0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loty or any officer who is in charge of any department or branch of the government of the mdging in unicipality or State relating to health, fire or building regulations or to other activitthe amount oies concerning dwellings in the municipality; (5) “Owner” shall mean the holder of the tif $2499 by no later than October 20, 2006. </w:t>
      </w:r>
    </w:p>
    <w:p>
      <w:pPr>
        <w:pStyle w:val=""/>
        <w:jc w:val="left"/>
      </w:pPr>
      <w:r>
        <w:rPr>
          <w:rFonts w:ascii="" w:hAnsi="" w:cs="" w:eastAsia=""/>
          <w:b w:val="false"/>
          <w:i w:val="false"/>
          <w:strike w:val="false"/>
          <w:color w:val=""/>
        </w:rPr>
        <w:t>Reimbursementtle in fee simple and every mortgagee of record; (6) “Parties in interest” shall mean all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individuals, associations, corporations and others who have interests of record in a dweof performalling and any who are in possession thereof;  and (7) “Dwelling” shall mean any building nce shall be Octoberor structure, or part thereof, used and occupied for human habitation or intended to be s 18, 2006 through Novembeo used and includes any outhouses and appurtenances belonging thereto or usually enjoyed therewith. SECTIr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