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 locomotor-like activity in the neonatal mouse. Specifically, he will cut and stain sections of the spinal cord that have been lar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rons.</w:t>
      </w:r>
    </w:p>
    <w:p>
      <w:pPr>
        <w:pStyle w:val=""/>
        <w:jc w:val="left"/>
      </w:pPr>
      <w:r>
        <w:rPr>
          <w:rFonts w:ascii="" w:hAnsi="" w:cs="" w:eastAsia=""/>
          <w:b w:val="false"/>
          <w:i w:val="false"/>
          <w:strike w:val="false"/>
          <w:color w:val=""/>
        </w:rPr>
        <w:t xml:space="preserve">Dr. Michael O’Donovan, Chief Investigator, DNS, DIR, NINDS would like to provide Dr. Blivis with lodgely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ofReqficer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