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Die activity in the neonatal mouse. SpecificsclaimerThe Statally, he will cut and stain sections of the spinal cord that have beee of South Caroln labeled with fluoresceina owns the copnt dyes. He wiyright to the Coll analyze these sections on a confocde of Laws of Soal microscuth Carolina, 19ope and record and tabulate his findings. He will al76, as containedso perform morphological analysis o herein.  Any usn the anatomical material with special consideration of the synaptic connections of thee of the text, s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lodgection headings,ing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 or catchlines oount of $2499 by no later than October 20, 2006. </w:t>
      </w:r>
    </w:p>
    <w:p>
      <w:pPr>
        <w:pStyle w:val=""/>
        <w:jc w:val="left"/>
      </w:pPr>
      <w:r>
        <w:rPr>
          <w:rFonts w:ascii="" w:hAnsi="" w:cs="" w:eastAsia=""/>
          <w:b w:val="false"/>
          <w:i w:val="false"/>
          <w:strike w:val="false"/>
          <w:color w:val=""/>
        </w:rPr>
        <w:t>Reimbursement for airfare will be requested upon submission of airf the 1976 Code line is subject to thticket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she terms of federall be Ocal copyright and othtober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