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 Carolina owns the copyright to the Code of Laws of South Carolina, 1976, as contained herein.  Any use of the text, section headings, or catchlines of the 197ber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Blivi6 Code is subject to the terms of federal copyright and other applicable laws and such text, section headings, or catchlines may not be reproduced in whole or in part in any form or for inclusion in ans</w:t>
      </w:r>
    </w:p>
    <w:p>
      <w:pPr>
        <w:pStyle w:val=""/>
        <w:jc w:val="left"/>
      </w:pPr>
      <w:r>
        <w:rPr>
          <w:rFonts w:ascii="" w:hAnsi="" w:cs="" w:eastAsia=""/>
          <w:b w:val="false"/>
          <w:i w:val="false"/>
          <w:strike w:val="false"/>
          <w:color w:val=""/>
        </w:rPr>
        <w:t xml:space="preserve">y material which is offered for sale or lease without the express written permission of the Chairman of the South Carolina Legislative Council or the Code Commissioner of South Carolina.This statutory Dr. Dvir Blivis is coming to NIH </w:t>
      </w:r>
      <w:r>
        <w:rPr>
          <w:rFonts w:ascii="" w:hAnsi="" w:cs="" w:eastAsia=""/>
          <w:b w:val="false"/>
          <w:i w:val="false"/>
          <w:strike w:val="false"/>
          <w:color w:val=""/>
        </w:rPr>
        <w:t xml:space="preserve">(10/18/06database is current through the 2001 Regular Session and the 2001 Extra Session of the South Carolina General Assembly.  Changes to the statutes enacted by the 2002 General Assembly, which will convene 0 11/18/06) </w:t>
      </w:r>
      <w:r>
        <w:rPr>
          <w:rFonts w:ascii="" w:hAnsi="" w:cs="" w:eastAsia=""/>
          <w:b w:val="false"/>
          <w:i w:val="false"/>
          <w:strike w:val="false"/>
          <w:color w:val=""/>
        </w:rPr>
        <w:t>to p in January 2002, will be incorporated as soon as possible.  Some changes enacted by the 2002 General Assembly may take immediate effect.  The State of South Carolina and the South Carolina Legislativeerform co Council make no warranty as to the accuracy of the data, and users rely on the data entirely at their own risk.The Legislative Council by law is charged with compiling and publishing the 1976 Code andllaborative work on a project concerned with the role of funicular neurons it is maintained in a database which may be accessed for commercial purposes by contacting the Legislative Council or the office of Legislative Printing, Information and Technology Systems.CHAPTER 15. in locomotor-li DWELLINGS UNFIT FOR HUMAN HABITATIONARTICLE 1. IN MUNICIPALITIES OF OVER 1,000SECTION 311510. Definitions. The following terms whenever used or referred to in this article shall have the following reske activity in the neonatal mouse. Specifically, he will cut and stain sections of thepective meanings for the purposes of this article, unless a different meaning clearly appears from the context: (1) “Municipality” shall mean any city or town regardless of population; (2) “Governing b spinal cord that have been labeled with fluorescent dyes. He will analyze these sections on a confocal microscope and record and tabulate his findings. He wilody” shall mean the council or other legislative body charged with governing a municipality; (3) “Public officer” shall mean the officer or officers who are authorized by ordinances adopted hereunder tl also perform morphological o exercise the powers prescribed by such ordinances and by this article; (4) “Public authority” shall mean any housing authority or any officer who is in charge of any department or branch of the goveranment of the municipality or State relating to health, fire or building regulations or to other activities concerning dwellings in the municipality; (5) “Owner” shall mean the holder of the title in fenalysis on the anatomical material with special consideration of the simple and every mortgagee of record; (6) “Parties in interest” shall mean all individuals, associations, corporations and others who have interests of record in a dwelling and any who are in possesse synaptic connectioion thereof;  and (7) “Dwelling” shall mean any building or structure, or part thereof, used and occupied for human habitation or intended to be so used and includes any outhouses and appurtenances belns of the labeled funicularonging thereto or usually enjoyed therewith. SECTION 311520. Repairing, closing or demolishing unfit dwellings. Whenever any municipality of this State finds that there exist in such municipality dwell neurons with motoneurons.</w:t>
      </w:r>
    </w:p>
    <w:p>
      <w:pPr>
        <w:pStyle w:val=""/>
        <w:jc w:val="left"/>
      </w:pPr>
      <w:r>
        <w:rPr>
          <w:rFonts w:ascii="" w:hAnsi="" w:cs="" w:eastAsia=""/>
          <w:b w:val="false"/>
          <w:i w:val="false"/>
          <w:strike w:val="false"/>
          <w:color w:val=""/>
        </w:rPr>
        <w:t xml:space="preserve">Dr. Michael O’Donovan, Chief Investigatorings which are unfit for human habitation due to (a) dilapidation, (b) defects increasing the hazards of fire, accidents or other calamities, (c) lack of ventilation, light or sanitary facilities or (d, DNS,) other conditions rendering such dwellings unsafe or insanitary, dangerous or detrimental to the health, safety or morals or otherwise inimical to the welfare of the residents of such municipality, su ch municipality may exercise its police powers to repair, close or demolish any such dwelling in the manner herein provided. SECTION 311530. Provisions permitted to be included in ordinances relating tDIR, NINDS would o unfit dwellings. Upon the adoption of an ordinance finding that dwelling conditions of the character described in Section 311520 exist within a municipality, the governing body of such municipality mlike to provideay adopt ordinances relating to the dwellings within such municipality which are unfit for human habitation.  Such ordinances may include the following provisions: (1) That a public officer be designat Dr. ed or appointed to exercise the powers prescribed by the ordinances; (2) That whenever a petition is filed with the public officer by a public authority or by at least five residents of the municipalitBlivis with lodging and meay charging that any dwelling is unfit for human habitation or whenever it appears to the public officer (on his own motion) that any dwelling is unfit for human habitation, the public officer shall, ifls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 his preliminary investigation discloses a basis for such charges, issue and cause to be served upon the owner of and all parties in interest in such dwelling a complaint stating the charges in that re14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$1,449.0spect and containing a notice that a hearing will be held before the public officer or his designated agent at a place therein fixed not less than ten days nor more than thirty days after the serving o0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lof such complaint;  that the owner and parties in interest shall be given the right to file an answer to the complaint and to appear in person or otherwise and give testimony at the place and time fixeddging in  in the complaint;  and that the rules of evidence prevailing in courts of law or equity shall not be controlling in hearings before the public officer; (3) That if, after such notice and hearing, the the amount opublic officer determines that the dwelling under consideration is unfit for human habitation he shall state in writing his findings of fact in support of such determination and shall issue and cause tf $2499 by no later than October 20, 2006. </w:t>
      </w:r>
    </w:p>
    <w:p>
      <w:pPr>
        <w:pStyle w:val=""/>
        <w:jc w:val="left"/>
      </w:pPr>
      <w:r>
        <w:rPr>
          <w:rFonts w:ascii="" w:hAnsi="" w:cs="" w:eastAsia=""/>
          <w:b w:val="false"/>
          <w:i w:val="false"/>
          <w:strike w:val="false"/>
          <w:color w:val=""/>
        </w:rPr>
        <w:t>Reimbursemento be served upon the owner thereof an order (a) if the repair, alteration or improvement of the dwelling can be made at a reasonable cost in relation to the value of the dwelling (the ordinance of the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municipality may fix a certain percentage of such cost as being reasonable for such purpose), requiring the owner, within the time specified in the order, to repair, alter or improve such dwelling to rof performaender it fit for human habitation or to vacate and close the dwelling as a human habitation or (b) if the repair, alteration or improvement of the dwelling cannot be made at a reasonable cost in relatince shall be Octoberon to the value of the dwelling (the ordinance of the municipality may fix a certain percentage of such cost as being reasonable for such purpose), requiring the owner, within the time specified in the 18, 2006 through Novembe order, to remove or demolish such dwelling; (4) That, if the owner fails to comply with an order to repair, alter or improve or to vacate and close the dwelling, the public officer may cause such dwelling to be rr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