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activity in the neonatal mouse. Specifice of South Carolina owns the copally, he will cut and stain sections of the spinal cord that have beeyright to the Code of Laws of Son labeled with fluoresceuth Carolina, 1976, as containednt dyes. He wi herein.  Any use of the text, sll analyze these sections on a confocection headings, or catchlines oal microscf the 1976 Code is subject to thope and record and tabulate his findings. He will ale terms of federal copyright andso perform morphological analysis o other applicable laws and such n the anatomical material with special consideration of the synaptic connections of thetext, section headings, or catch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lodglines may not be reproduced in wing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amhole or in part in any form or fount of $2499 by no later than October 20, 2006. </w:t>
      </w:r>
    </w:p>
    <w:p>
      <w:pPr>
        <w:pStyle w:val=""/>
        <w:jc w:val="left"/>
      </w:pPr>
      <w:r>
        <w:rPr>
          <w:rFonts w:ascii="" w:hAnsi="" w:cs="" w:eastAsia=""/>
          <w:b w:val="false"/>
          <w:i w:val="false"/>
          <w:strike w:val="false"/>
          <w:color w:val=""/>
        </w:rPr>
        <w:t>Reimbursement for airfare will be requested upon submission of airor inclusion in any material whiline ch is offered for sale or lease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shwithout the express written permall be Ocission of the Chairman of the South Carolina 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