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Copyright and DisclaimerThe State of South Carolina owns the copyright to the Code of Laws of South Carolina, 1976, as contained herein.  Any use of the text, section headings, or catchlines of the 1976 Code is subject to the terms of federal copyright and otherwith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 applicable laws and such text, section headings, or catchlines may not be reproduced in whole or in part in any form or for inclusion in any material which is offered for sale or lease without the express written permission of the Chairman of the South Carolina 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