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hetic connectirein.  Any use of the text, section headings, or catchlines of the 1976 Code is subject to the terms of federal copyright and otherons of the labeled funicular neurons with motoneurons.</w:t>
      </w:r>
    </w:p>
    <w:p>
      <w:pPr>
        <w:pStyle w:val=""/>
        <w:jc w:val="left"/>
      </w:pPr>
      <w:r>
        <w:rPr>
          <w:rFonts w:ascii="" w:hAnsi="" w:cs="" w:eastAsia=""/>
          <w:b w:val="false"/>
          <w:i w:val="false"/>
          <w:strike w:val="false"/>
          <w:color w:val=""/>
        </w:rPr>
        <w:t xml:space="preserve">Dr. Michael O’Donovan, Chief Investigator, DNS, DIR, NIN applicable laws and such text, section headings, or catchlines may not be reproduced in whole or in part in any form or for inclusDS would like to provide Dr. Blivis with lodging and meals while at NIH, and reion in any material which is offered for sale or lease without the express written permission of the Chairman of the South Carolina 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