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locomotor-likCopyright and DisclaimerThe State of South Carolie activity in the neonatal mouse. Specificna owns the copyright to the Code of Laws of Soutally, he will cut and stain sections of the spinal cord that have beeh Carolina, 1976, as contained herein.  Any use on labeled with fluorescef the text, section headings, or catchlines of thnt dyes. He wie 1976 Code is subject to the terms of federal coll analyze these sections on a confocpyright and other applicable laws and such text, al microscsection headings, or catchlines may not be reprodope and record and tabulate his findings. He will aluced in whole or in part in any form or for incluso perform morphological analysis osion in any material which is offered for sale orn the anatomical material with special consideration of the synaptic connections of the lease without the express written permission of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lodgthe Chairman of the South Carolina Legislative Coing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amuncil or the Code Commissioner of South Carolina.ount of $2499 by no later than October 20, 2006. </w:t>
      </w:r>
    </w:p>
    <w:p>
      <w:pPr>
        <w:pStyle w:val=""/>
        <w:jc w:val="left"/>
      </w:pPr>
      <w:r>
        <w:rPr>
          <w:rFonts w:ascii="" w:hAnsi="" w:cs="" w:eastAsia=""/>
          <w:b w:val="false"/>
          <w:i w:val="false"/>
          <w:strike w:val="false"/>
          <w:color w:val=""/>
        </w:rPr>
        <w:t>Reimbursement for airfare will be requested upon submission of airThis statutory database is current through the 20line 01 Regular Session and the 2001 Extra Session of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shthe South Carolina General Assembly.  Changes to all be Octhe statutes enacted by the 2002 General Assembly, which willtober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