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with fluorescent dyes. He will analyze these sections on a confocal microscope and record and tabulate his findings. He will also perform morphological analysis on the anatomical material with special consideration of the synapCopyright and DisclaimerThe State of South Carolina owns the copyright to the Code of Laws of South Carolina, 1976, as contained herein.  Any use of the text, section headings, or catchlines of the 1tic connecti976 Code is subject to the terms of federal copyright and other applicable laws and such text, section headings, or catchlines may not be reproduced in whole or in part in any form or for inclusion ions of the labeled funicular neurons with motoneurons.</w:t>
      </w:r>
    </w:p>
    <w:p>
      <w:pPr>
        <w:pStyle w:val=""/>
        <w:jc w:val="left"/>
      </w:pPr>
      <w:r>
        <w:rPr>
          <w:rFonts w:ascii="" w:hAnsi="" w:cs="" w:eastAsia=""/>
          <w:b w:val="false"/>
          <w:i w:val="false"/>
          <w:strike w:val="false"/>
          <w:color w:val=""/>
        </w:rPr>
        <w:t xml:space="preserve">Dr. Michael O’Donovan, Chief Investigator, DNS, DIR, NINn any material which is offered for sale or lease without the express written permission of the Chairman of the South Carolina Legislative Council or the Code Commissioner of South Carolina.This statDS would like to provide Dr. Blivis with lodging and meals while at NIH, and reutory database is current through the 2001 Regular Session and the 2001 Extra Session of the South Carolina General Assembly.  Changes to the statutes enacted by the 2002 General Assembly, which willimburse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