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locomotor-like activity in the neonatal mouse. Specifically, he will cut and stain sections of the spinal cord that have been la Carolina, 1976, as contained herein.  Any use of the text, section headings, or catchlines of the 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motoneur1976 Code is subject to the terms of federal copyright and other applicable laws and such text, secons.</w:t>
      </w:r>
    </w:p>
    <w:p>
      <w:pPr>
        <w:pStyle w:val=""/>
        <w:jc w:val="left"/>
      </w:pPr>
      <w:r>
        <w:rPr>
          <w:rFonts w:ascii="" w:hAnsi="" w:cs="" w:eastAsia=""/>
          <w:b w:val="false"/>
          <w:i w:val="false"/>
          <w:strike w:val="false"/>
          <w:color w:val=""/>
        </w:rPr>
        <w:t xml:space="preserve">Dr. Michael O’Donovan, Chief Investigator, DNS, DIR, NINDS would like to provide Dr. Blivis with lodgtion headings, or catchlines may not be reproduced in whole or in part in any form or for inclusioning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 in any material which is offered for sale or lease without the express written permission of the C00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hairman of the South Carolina Legislative Council or the Code Commissioner of South Carolina.This sReqtatutory database is current through the 2001 Regular Session and the 2001 Extra Session of the Souuest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th Carolina General Assembly.  Changes to the statutes enacted by the 2002 General Assembly, which willrequested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