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September 29, 2006</w:t>
      </w:r>
    </w:p>
    <w:p>
      <w:pPr>
        <w:pStyle w:val=""/>
        <w:jc w:val="left"/>
      </w:pPr>
      <w:r>
        <w:rPr>
          <w:rFonts w:ascii="" w:hAnsi="" w:cs="" w:eastAsia=""/>
          <w:b w:val="false"/>
          <w:i w:val="false"/>
          <w:strike w:val="false"/>
          <w:color w:val=""/>
        </w:rPr>
        <w:t>Statement of Work</w:t>
      </w:r>
    </w:p>
    <w:p>
      <w:pPr>
        <w:pStyle w:val=""/>
        <w:jc w:val="left"/>
      </w:pPr>
      <w:r>
        <w:rPr>
          <w:rFonts w:ascii="" w:hAnsi="" w:cs="" w:eastAsia=""/>
          <w:b w:val="false"/>
          <w:i w:val="false"/>
          <w:strike w:val="false"/>
          <w:color w:val=""/>
        </w:rPr>
        <w:t>Dvir Blivis</w:t>
      </w:r>
    </w:p>
    <w:p>
      <w:pPr>
        <w:pStyle w:val=""/>
        <w:jc w:val="left"/>
      </w:pPr>
      <w:r>
        <w:rPr>
          <w:rFonts w:ascii="" w:hAnsi="" w:cs="" w:eastAsia=""/>
          <w:b w:val="false"/>
          <w:i w:val="false"/>
          <w:strike w:val="false"/>
          <w:color w:val=""/>
        </w:rPr>
        <w:t xml:space="preserve">Dr. Dvir Blivis is coming to NIH </w:t>
      </w:r>
      <w:r>
        <w:rPr>
          <w:rFonts w:ascii="" w:hAnsi="" w:cs="" w:eastAsia=""/>
          <w:b w:val="false"/>
          <w:i w:val="false"/>
          <w:strike w:val="false"/>
          <w:color w:val=""/>
        </w:rPr>
        <w:t xml:space="preserve">(10/18/06 0 11/18/06) </w:t>
      </w:r>
      <w:r>
        <w:rPr>
          <w:rFonts w:ascii="" w:hAnsi="" w:cs="" w:eastAsia=""/>
          <w:b w:val="false"/>
          <w:i w:val="false"/>
          <w:strike w:val="false"/>
          <w:color w:val=""/>
        </w:rPr>
        <w:t>to perform collaborative work on a project concerned with the role of funicular neurons in locomotor-like activity in the neonatal mouse. Specifically, he will cut and stain sections of the spinal cord that have been labeled 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Technology Systems.CHAPTER 15. DWELLINGS UNFIT FOR HUMAN HABITATIONARTICLE 1. IN MUNICIPALITIES OF OVER 1,000SECTION 311510. Definitions. The following terms whenever used or referred to in this article shall have the following respective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this article; (4) “Public authority” shall mean any housing authority or any officer who is in charge of any department or branch of the government of the municipality or State relating to health, fire or building regulations or to other activities concerning dwellings in the municipality; (5) “Owner” shall mean the holder of the title in fee simple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 used and includes any outhouses and appurtenances belonging thereto or usually enjoyed therewith. SECTION 311520. Repairing, closing or demolishing unfit dwellings. Whenever any municipality of this State finds that there exist in such municipality dwellings which are unfit for human habitation due to (a) dilapidation, (b) defects increasing the hazards of fire, accidents or other calamities, (c) lack of ventilation, light or sanitary facilities or (d) other conditions rendering such dwellings unsafe or insanitary, dangerous or detrimental to the health, safety or morals or otherwise inimical to the welfare of the residents of such municipality, such municipality may exercise its police powers to repair, close or demolish any such dwelling in the manner herein provided. SECTION 311530. Provisions permitted to be included in ordinances relating to unfit dwellings. Upon the adoption of an ordinance finding that dwelling conditions of the character described in Section 311520 exist within a municipality, the governing body of such municipality may adopt ordinances relating to the dwellings within such municipality which are unfit for human habitation.  Such ordinances may include the following provisions: (1) That a public officer be designated or appointed to exercise the powers prescribed by the ordinances; (2) That whenever a petition is filed with the public officer by a public authority or by at least five residents of the municipality charging that any dwelling is unfit for human habitation or whenever it appears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complaint;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the dwelling can be made at a reasonable cost in relation to the value of the dwelling (the ordinance of the municipality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municipality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repaired, altered or improved or to be vacated and closed;  that the public officer may cause to be posted on the main entrance of any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dwelling to be removed or demolished;  and (6) That the amount of the cost of such repairs, alterations or improvements, vacating and closing, or removal or demolition by the public officer shall be a lien against the real property upon which such cost was incurred and shall be collectible in the same manner as municipal taxes. (7) If a municipality in demolishing unfit dwellings as permitted by this article contracts with a third party not employed by the municipality to do the work, it must bid the work in conformity with the procurement code applicable to the municipality. SECTION 311540. Power of municipality to declare nuisances not impaired. Nothing in Section 311530 shall be construed to impair or limit in any way the power of a municipality to define and declare nuisances and to cause their removal or abatement by summary proceedings or otherwise. SECTION 311550. Standards in ordinances for determining fitness of dwelling for human habitation. An ordinance adopted by a municipality under this article shall provide that a public officer may determine that a dwelling is unfit for human habitation if he finds that conditions exist in such dwelling which are dangerous or injurious to the health, safety or morals of the occupants of such dwelling, the occupants of neighboring dwellings or other residents of such municipality.  Such conditions may include the following (without limiting the generality of the foregoing):  Defects therein increasing the hazards of fire, accident or other calamities;  lack of adequate ventilation, light or sanitary facilities;  dilapidation;  disrepair;  structural defects;  uncleanliness.  The ordinance may provide additional standards to guwith fluorescent dyes. He will analyze these sections on a confocal microscope and record and tabulate his findings. He will also perform morphological analysis on the anatomical material with special consideration of the synaptic connections of the labeled funicular neurons with motoneurons.</w:t>
      </w:r>
    </w:p>
    <w:p>
      <w:pPr>
        <w:pStyle w:val=""/>
        <w:jc w:val="left"/>
      </w:pPr>
      <w:r>
        <w:rPr>
          <w:rFonts w:ascii="" w:hAnsi="" w:cs="" w:eastAsia=""/>
          <w:b w:val="false"/>
          <w:i w:val="false"/>
          <w:strike w:val="false"/>
          <w:color w:val=""/>
        </w:rPr>
        <w:t xml:space="preserve">Dr. Michael O’Donovan, Chief Investigator, DNS, DIR, NINDS would like to provide Dr. Blivis with lodging and meals while at NIH, and reimburse his airfare. </w:t>
      </w:r>
    </w:p>
    <w:p>
      <w:pPr>
        <w:pStyle w:val=""/>
        <w:jc w:val="left"/>
      </w:pPr>
      <w:r>
        <w:rPr>
          <w:rFonts w:ascii="" w:hAnsi="" w:cs="" w:eastAsia=""/>
          <w:b w:val="false"/>
          <w:i w:val="false"/>
          <w:strike w:val="false"/>
          <w:color w:val=""/>
        </w:rPr>
        <w:t xml:space="preserve">Airfare  </w:t>
      </w:r>
      <w:r>
        <w:rPr>
          <w:rFonts w:ascii="" w:hAnsi="" w:cs="" w:eastAsia=""/>
          <w:b w:val="false"/>
          <w:i w:val="false"/>
          <w:strike w:val="false"/>
          <w:color w:val=""/>
        </w:rPr>
        <w:t xml:space="preserve"> $1,973.14</w:t>
      </w:r>
    </w:p>
    <w:p>
      <w:pPr>
        <w:pStyle w:val=""/>
        <w:jc w:val="left"/>
      </w:pPr>
      <w:r>
        <w:rPr>
          <w:rFonts w:ascii="" w:hAnsi="" w:cs="" w:eastAsia=""/>
          <w:b w:val="false"/>
          <w:i w:val="false"/>
          <w:strike w:val="false"/>
          <w:color w:val=""/>
        </w:rPr>
        <w:t>Lodging</w:t>
      </w:r>
      <w:r>
        <w:rPr>
          <w:rFonts w:ascii="" w:hAnsi="" w:cs="" w:eastAsia=""/>
          <w:b w:val="false"/>
          <w:i w:val="false"/>
          <w:strike w:val="false"/>
          <w:color w:val=""/>
        </w:rPr>
        <w:t xml:space="preserve"> $1,449.00</w:t>
      </w:r>
    </w:p>
    <w:p>
      <w:pPr>
        <w:pStyle w:val=""/>
        <w:jc w:val="left"/>
      </w:pPr>
      <w:r>
        <w:rPr>
          <w:rFonts w:ascii="" w:hAnsi="" w:cs="" w:eastAsia=""/>
          <w:b w:val="false"/>
          <w:i w:val="false"/>
          <w:strike w:val="false"/>
          <w:color w:val=""/>
        </w:rPr>
        <w:t xml:space="preserve">Meals   </w:t>
      </w:r>
      <w:r>
        <w:rPr>
          <w:rFonts w:ascii="" w:hAnsi="" w:cs="" w:eastAsia=""/>
          <w:b w:val="false"/>
          <w:i w:val="false"/>
          <w:strike w:val="false"/>
          <w:color w:val=""/>
        </w:rPr>
        <w:t xml:space="preserve"> $1,050.00</w:t>
      </w:r>
    </w:p>
    <w:p>
      <w:pPr>
        <w:pStyle w:val=""/>
        <w:jc w:val="left"/>
      </w:pPr>
      <w:r>
        <w:rPr>
          <w:rFonts w:ascii="" w:hAnsi="" w:cs="" w:eastAsia=""/>
          <w:b w:val="false"/>
          <w:i w:val="false"/>
          <w:strike w:val="false"/>
          <w:color w:val=""/>
        </w:rPr>
        <w:t>TOTAL</w:t>
      </w:r>
      <w:r>
        <w:rPr>
          <w:rFonts w:ascii="" w:hAnsi="" w:cs="" w:eastAsia=""/>
          <w:b w:val="false"/>
          <w:i w:val="false"/>
          <w:strike w:val="false"/>
          <w:color w:val=""/>
        </w:rPr>
        <w:t xml:space="preserve"> $4,472.14</w:t>
      </w:r>
    </w:p>
    <w:p>
      <w:pPr>
        <w:pStyle w:val=""/>
        <w:jc w:val="left"/>
      </w:pPr>
      <w:r>
        <w:rPr>
          <w:rFonts w:ascii="" w:hAnsi="" w:cs="" w:eastAsia=""/>
          <w:b w:val="false"/>
          <w:i w:val="false"/>
          <w:strike w:val="false"/>
          <w:color w:val=""/>
        </w:rPr>
        <w:t xml:space="preserve">Reqide the public officer or his agents in determining the fitness of a dwelling for human habitation. SECTION 311560. Service of complaints or orders;  posting and filing copies. Complaints or orders issued by a public officer pursuant to an ordinance adopted under this article shall be served upon persons either personally or by registered mail, but if the whereabouts of such persons is unknown and cannot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in the municipality or, in the absence of such newspaper, in one printed and published in the county and circulating in the municipality in which the dwellings are located.  A copy of such complaint or order shall be posted in a conspicuous place on the premises affected by the complaint or order.  A copy of such complaint or order shall also be filed with the clerk of the county in which the dwelling is located and such filing of the complaint or order shall have the same force and effect as other lis pendens notices provided by law. SECTION 311570. Rights of persons affected by orders. Any person affected by an order issued by a public officer may within sixty days after the posting and service of the order petition the circuit court for an injunction restraining the public officer from carrying out the provisions of the order and the court may, upon such petition, issue a temporary injunction restraining the public officer pending the final disposition of the cause.  Hearings shall be had by the court on such petitions within twenty days or as soon thereafter as possible and shall be given preference over other matters on the court’s calendar.  The court shall hear and determine the issues raised and shall enter such final order or decree as law and justice may require.  In all such proceedings the findings of the public officer as to facts, if supported by evidence, shall be conclusive.  Costs shall be in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order of the public officer. SECTION 311580. Provisions in ordinances with respect to powers of public officer. An ordinance adopted by the governing body of a municipality may authorize a public officer to exercise such powers as may be necessary or convenient to carry out and effectuate the purposes and provisions of this article, including the following powers in addition to others herein granted: (1) To investigate the dwelling conditions in the municipality in order to determine which dwellings therein are unfit for human habitation; (2) To administer oaths and affirmations, examine witnesses and receive evidence; (3) To enter upon premises for the purpose of making examinations, provided such entries be made in such manner as to cause the least possible inconvenience to the persons in possession; (4) To appoint and fix the duties of such officers, agents and employees as he deems necessary to carry out the purposes of the ordinances;  and (5) To delegate any of his functions and powers under the ordinances to such officers and agents as he may designate. SECTION 311590. Sale of materials of removed or demolished dwelling. If a dwelling is removed or demolished by a public officer he shall sell the materials of such dwelling and shall credit the proceeds of such sale against the cost of the removal or demolition and any balance remaining shall be deposited in the circuit court by the public officer, shall be secured in such manner as may be directed by such court and shall be disbursed by such court to the persons found to be entitled thereto by final order or decree of such court. SECTION 3115100. Funds for enforcement;  estimate of amount needed. The governing body of any municipality adopting an ordinance under this article shall as soon as possible thereafter prepare an estimate of the annual expenses or costs to provide the equipment, personnel and supplies necessary for periodic examinations and investigations of the dwellings in such municipality for the purpose of determining the fitness of such dwellings for human habitation and for the enforcement and administration of its ordinances adopted under this article.  Any such municipality may make such appropriations from its revenues as it may deem necessary for this purpose and may accept and apply grants or donations to assist it in carrying out the provisions of such ordinances. SECTION 3115110. Establishment by municipality of commission to exercise powers of public officer. Any municipality adopting an ordinance under the provisions of this article may establish a commission composed of not less than three nor more than seven duly qualified electors of such municipality, to exercise any of the powers authorized to be granted to the public officer by the terms of this article.  The members of this commission shall be appointed by the mayor with approval of a majority of the council or governing body of the municipality and shall serve for such term and compensation as designated by the ordinance.  The commission shall exercise the powers prescribed by the ordinance and formulate the rules of procedure before it;   provided,  that a majority of the members thereof must be present for the conduct of its business, and decisions must be by majority vote of the members present. SECTION 3115120. Article provisions are cumulative. Nothing in this article shall be construed to abrogate or impair the powers of the courts or of any department of any municipality to enforce any provisions of its charter or its ordinances or regulations, or to prevent or punish violations thereof and the powers conferred by this article shall be in addition and supplemental to the powers conferred by any other law. ARTICLE 3. IN COUNTIESSECTION 3115310. Definitions. For the purposes of this article: (1) “County” shall mean that area comprising the county other than municipalities; (2) “Public officer” shall mean the officer or officers who are authorized by ordinances adopted hereunder to exercise the powers prescribed by such ordinances; (3) “Owner” shall mean the holder of the title in fee simple and every mortgagee of record; (4) “Parties in interest” shall mean all individuals, associations, corporations and others who have interests of record in a dwelling and any who are in possession thereof;  and (5) “Dwelling” shall mean any building or structure, or part thereof, used and occupied for human habitation or intended to be so used and includes any outhouses and appurtenances belonging thereto or usually enjoyed therewith. SECTION 3115320. Repairing, closing or demolishing unfit dwellings. Whenever the governing body of any county of this State finds that there exist in the county dwellings which are unfit for human habitation due to (a) dilapidation, (b) defects increasing the hazards of fire, accidents or other calamities, (c) lack of ventilation, light or sanitary facilities or (d) other conditions rendering such dwellings unsafe or insanitary, dangerous or detrimental to the health, safety or morals or otherwise inimical to the welfare of the residents of the county, such county may, upon the approval of a majority of the resident members of the county legislative delegation which the members represent, exercise its police powers to repair, close or demolish any such dwelling. SECTION 3115330. Provisions permitted to be included in ordinances relating to unfit dwellings. Upon the adoption of an ordinance finding that dwelling conditions of the character described in Section 3115320 exist within the county, the county governing body may adopt ordinances relating to the dwellings within the county which are unfit for human habitation.  Such ordinances may include the following provisions: (1) That a public officer be designated or appointed to exercise the powers prescribed by the ordinances; (2) That whenever a petition is filed with the public officer by at least five residents of the county charging that any dwelling is unfit for human habitation or whenever it appears to the public officer (on his own motion) that any dwelling is unfit for human habitation, the public officer shall, if hisuest that a check be issued for meals and lodging in the amount of $2499 by no later than October 20, 2006. </w:t>
      </w:r>
    </w:p>
    <w:p>
      <w:pPr>
        <w:pStyle w:val=""/>
        <w:jc w:val="left"/>
      </w:pPr>
      <w:r>
        <w:rPr>
          <w:rFonts w:ascii="" w:hAnsi="" w:cs="" w:eastAsia=""/>
          <w:b w:val="false"/>
          <w:i w:val="false"/>
          <w:strike w:val="false"/>
          <w:color w:val=""/>
        </w:rPr>
        <w:t>Reimbursement for airfare will be requested upon submission of airline ticket stub.</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period of performance shall be October 18, 2006 through November 30, 2006.</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2021-03-25T04:37:21Z</dcterms:created>
  <dc:creator>Apache POI</dc:creator>
</cp:coreProperties>
</file>