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copyrie activity in the neonatal mouse. Specificght to the Code of Laws of South Carolina, 1976, as contained hereially, he will cut and stain sections of the spinal cord that have been.  Any use of the text, section headings, or catchlines of the 197n labeled with fluoresce6 Code is subject to the terms of federal copyright and other applint dyes. He wicable laws and such text, section headings, or catchlines may not bll analyze these sections on a confoce reproduced in whole or in part in any form or for inclusion in anal microscy material which is offered for sale or lease without the express wope and record and tabulate his findings. He will alritten permission of the Chairman of the South Carolina Legislativeso perform morphological analysis o Council or the Code Commissioner of South Carolina.This statutory n the anatomical material with special consideration of the synaptic connections of thedatabase is current through the 2001 Regular Session and the 2001 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lodgxtra Session of the South Carolina General Assembly.  Changes to thing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ame statutes enacted by the 2002 General Assembly, which will conveneount of $2499 by no later than October 20, 2006. </w:t>
      </w:r>
    </w:p>
    <w:p>
      <w:pPr>
        <w:pStyle w:val=""/>
        <w:jc w:val="left"/>
      </w:pPr>
      <w:r>
        <w:rPr>
          <w:rFonts w:ascii="" w:hAnsi="" w:cs="" w:eastAsia=""/>
          <w:b w:val="false"/>
          <w:i w:val="false"/>
          <w:strike w:val="false"/>
          <w:color w:val=""/>
        </w:rPr>
        <w:t>Reimbursement for airfare will be requested upon submission of air in January 2002, will be incorporated as soon as possible.  Some cline hanges enacted by the 2002 General Assembly may take immediate effeticket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shct.  The State of South Carolina and the South Carolina Legislativeall be Oc Council make no warranty as to the accuracy of the data, and userstober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