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copyright to the Code of Laws of South Carolina, 1976, as contained herei locomotor-like activity in the neonatal mouse. Specifically, he will cut and stain sections of the spinal cord that have been lan.  Any use of the text, section headings, or catchlines of the 1976 Code is subject to the terms of federal copyright and other applibeled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motoneurcable laws and such text, section headings, or catchlines may not be reproduced in whole or in part in any form or for inclusion in anons.</w:t>
      </w:r>
    </w:p>
    <w:p>
      <w:pPr>
        <w:pStyle w:val=""/>
        <w:jc w:val="left"/>
      </w:pPr>
      <w:r>
        <w:rPr>
          <w:rFonts w:ascii="" w:hAnsi="" w:cs="" w:eastAsia=""/>
          <w:b w:val="false"/>
          <w:i w:val="false"/>
          <w:strike w:val="false"/>
          <w:color w:val=""/>
        </w:rPr>
        <w:t xml:space="preserve">Dr. Michael O’Donovan, Chief Investigator, DNS, DIR, NINDS would like to provide Dr. Blivis with lodgy material which is offered for sale or lease without the express written permission of the Chairman of the South Carolina Legislativeing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 Council or the Code Commissioner of South Carolina.This statutory database is current through the 2001 Regular Session and the 2001 E00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xtra Session of the South Carolina General Assembly.  Changes to the statutes enacted by the 2002 General Assembly, which will conveneReq in January 2002, will be incorporated as soon as possible.  Some changes enacted by the 2002 General Assembly may take immediate effeuest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ct.  The State of South Carolina and the South Carolina Legislative Council make no warranty as to the accuracy of the data, and usersrequested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