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respece activity in the neonatal mouse. Specifictive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otheally, he will cut and stain sections of the spinal cord that have beer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con labeled with fluorescemplaint;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rnt dyes. He wiepaired,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suchll analyze these sections on a confoc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fileal microscd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ope and record and tabulate his findings. He will albe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cso perform morphological analysis oosts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departmn the anatomical material with special consideration of the synaptic connections of theent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aount of $2499 by no later than October 20, 2006. </w:t>
      </w:r>
    </w:p>
    <w:p>
      <w:pPr>
        <w:pStyle w:val=""/>
        <w:jc w:val="left"/>
      </w:pPr>
      <w:r>
        <w:rPr>
          <w:rFonts w:ascii="" w:hAnsi="" w:cs="" w:eastAsia=""/>
          <w:b w:val="false"/>
          <w:i w:val="false"/>
          <w:strike w:val="false"/>
          <w:color w:val=""/>
        </w:rPr>
        <w:t>Reimbursement for airfare will be requested upon submission of airny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oline 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dwelall be Ocling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