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copyright to the Code of Laws of South Carolina, 1976, as contained herein.  Any use of the text, section he locomotor-like activity in the neonatal mouse. Specifically, he will cut and stain sections of the spinal cord that have been laadings, or catchlines of the 1976 Code is subject to the terms of federal copyright and other applicable laws and such text, section headings, or catchlines may not be rbeled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motoneureproduced in whole or in part in any form or for inclusion in any material which is offered for sale or lease without the express written permission of the Chairman of tons.</w:t>
      </w:r>
    </w:p>
    <w:p>
      <w:pPr>
        <w:pStyle w:val=""/>
        <w:jc w:val="left"/>
      </w:pPr>
      <w:r>
        <w:rPr>
          <w:rFonts w:ascii="" w:hAnsi="" w:cs="" w:eastAsia=""/>
          <w:b w:val="false"/>
          <w:i w:val="false"/>
          <w:strike w:val="false"/>
          <w:color w:val=""/>
        </w:rPr>
        <w:t xml:space="preserve">Dr. Michael O’Donovan, Chief Investigator, DNS, DIR, NINDS would like to provide Dr. Blivis with lodghe South Carolina Legislative Council or the Code Commissioner of South Carolina.This statutory database is current through the 2001 Regular Session and the 2001 Extra Sing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$1,050.ession of the South Carolina General Assembly.  Changes to the statutes enacted by the 2002 General Assembly, which will convene in January 2002, will be incorporated as00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 soon as possible.  Some changes enacted by the 2002 General Assembly may take immediate effect.  The State of South Carolina and the South Carolina Legislative Council Reqmake no warranty as to the accuracy of the data, and users rely on the data entirely at their own risk.The Legislative Council by law is charged with compiling and publiuest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shing the 1976 Code and it is maintained in a database which may be accessed for commercial purposes by contacting the Legislative Council or the office of Legislative Prinrequested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