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TO AMEND PART II, CHATTANOOGA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PoliCITY CODE, CHAPTER 18, ARTICLE 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TVVII, SECTION 18-123(h); CHAPTER and billboards to increase their sales of these products.  Fresh fruit and vege 21, ARTICLE I, SECTIONS 21-1 Ttables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brands.HROUGH 21-25; CHAPTER 21, ARTIC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LE II, SECTIONS 21-26, 21-28, 2(upper,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1-30; CHAPTER 21, ARTICLE III,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SECTIONS 21-36 AND 21-40; CHAPT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thoER 21, ARTICLE VII, SECTIONS 21se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ingred-101 AND 21-123; CHAPTER 24, ARients are allowed on the Polish market, SANEPID test resuTICLE X, DIV. 3, SECTIONS 24-34lts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on1(c) AND 24-345(c); CHAPTER 31, food additives on June 3, 2003.   Poland uses a positive-additives list, which identifies additives that  ARTICLE I, SECTION 31-2(b); ANare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memD CHAPTER 32, ARTICLE VIII, SECber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00-87TION 32-174, RELATIVE TO NEIGHBORHOOD SERVIC5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