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ch1345AN ORDINANCanges,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nuE TO AMEND PARTt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II, CHATTANOOG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 CITY CODE, CHailed data on dried fruit consum</w:t>
      </w:r>
      <w:r>
        <w:rPr>
          <w:rFonts w:ascii="" w:hAnsi="" w:cs="" w:eastAsia=""/>
          <w:b w:val="false"/>
          <w:i w:val="false"/>
          <w:strike w:val="false"/>
          <w:color w:val=""/>
        </w:rPr>
        <w:t>ption is available.   The most popular dried fruits on the Polish market are:  raisins, prunes, dates, apricots, figAPTER 18, ARTICs,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stimLE VII, SECTIONulat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 18-123(h); CHAd aspect and use of nuts and dri</w:t>
      </w:r>
      <w:r>
        <w:rPr>
          <w:rFonts w:ascii="" w:hAnsi="" w:cs="" w:eastAsia=""/>
          <w:b w:val="false"/>
          <w:i w:val="false"/>
          <w:strike w:val="false"/>
          <w:color w:val=""/>
        </w:rPr>
        <w:t>ed fruit as snacks.   In addition, these products arPTER 21, ARTICLe also quite popular with the 20-49 year old age group.  Consumption in the age group above 50 years is very marginal.  Consumption decreases at this aE I, SECTIONS 2ge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avoi1-1 THROUGH 21-ds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marke25; CHAPTER 21,t.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ARTICLE II, SE number throughout Poland and offer the largest variety and shelf space of any segment.  Supermarkets and discount stores also offer a large variety of dried fruit &amp; nuts and shelf space.  Convenience storeCTIONS 21-26, 2s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1-28, 21-30; CHa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outleAPTER 21, ARTICt.  Traditional stores and ki</w:t>
      </w:r>
      <w:r>
        <w:rPr>
          <w:rFonts w:ascii="" w:hAnsi="" w:cs="" w:eastAsia=""/>
          <w:b w:val="false"/>
          <w:i w:val="false"/>
          <w:strike w:val="false"/>
          <w:color w:val=""/>
        </w:rPr>
        <w:t>osks offer the least amount of variety and shelf space for dried fruit &amp; nuts buLE III, SECTIONt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 21-36 AND 21-str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follo40; CHAPTER 21,wing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 ARTICLE VII, Sity ingredients to ensure longer s</w:t>
      </w:r>
      <w:r>
        <w:rPr>
          <w:rFonts w:ascii="" w:hAnsi="" w:cs="" w:eastAsia=""/>
          <w:b w:val="false"/>
          <w:i w:val="false"/>
          <w:strike w:val="false"/>
          <w:color w:val=""/>
        </w:rPr>
        <w:t>helf life of their proECTIONS 21-101 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AND 21-123; CHAdrastically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PTER 24, ARTICLvalorem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numberE X, DIV. 3, SE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reflectCTIONS 24-341(c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 AND 24-345(c)list),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 CHAPTER 31, Afrom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appropRTICLE I, SECTIriate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ON 31-2(b); ANDInformation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 CHAPTER 32, ARtary Station - SANEPID - actual tests &amp; check ups</w:t>
      </w:r>
    </w:p>
    <w:p>
      <w:pPr>
        <w:pStyle w:val="Header"/>
        <w:jc w:val="left"/>
      </w:pPr>
      <w:r>
        <w:rPr>
          <w:rFonts w:ascii="" w:hAnsi="" w:cs="" w:eastAsia=""/>
          <w:b w:val="false"/>
          <w:i w:val="false"/>
          <w:strike w:val="false"/>
          <w:color w:val=""/>
        </w:rPr>
        <w:t>Mr. Krzysztof Dziubinski, TICLE VIII, SECActing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849TION 32-174, RELATIVE TO NEIGHBORHOOD SERVIC3513,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